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0835" w14:textId="77777777" w:rsidR="00BE4C01" w:rsidRPr="008A1C76" w:rsidRDefault="00BE4C01" w:rsidP="00BE4C01">
      <w:pPr>
        <w:jc w:val="both"/>
        <w:rPr>
          <w:sz w:val="28"/>
          <w:szCs w:val="28"/>
        </w:rPr>
      </w:pPr>
      <w:r>
        <w:rPr>
          <w:sz w:val="28"/>
          <w:szCs w:val="28"/>
        </w:rPr>
        <w:t>N</w:t>
      </w:r>
      <w:r w:rsidRPr="008A1C76">
        <w:rPr>
          <w:sz w:val="28"/>
          <w:szCs w:val="28"/>
        </w:rPr>
        <w:t>y finansiel regulering</w:t>
      </w:r>
      <w:r>
        <w:rPr>
          <w:sz w:val="28"/>
          <w:szCs w:val="28"/>
        </w:rPr>
        <w:t xml:space="preserve"> for fondsmæglerselskaber</w:t>
      </w:r>
      <w:r w:rsidRPr="008A1C76">
        <w:rPr>
          <w:sz w:val="28"/>
          <w:szCs w:val="28"/>
        </w:rPr>
        <w:t xml:space="preserve"> </w:t>
      </w:r>
    </w:p>
    <w:p w14:paraId="300EB7E4" w14:textId="7BBDDD54" w:rsidR="00BE4C01" w:rsidRDefault="00BE4C01" w:rsidP="00BE4C01">
      <w:pPr>
        <w:jc w:val="both"/>
      </w:pPr>
      <w:r>
        <w:t>O</w:t>
      </w:r>
      <w:r w:rsidRPr="005A5267">
        <w:t xml:space="preserve">pdatering for </w:t>
      </w:r>
      <w:r w:rsidR="00A91502">
        <w:t>marts</w:t>
      </w:r>
      <w:r w:rsidRPr="005A5267">
        <w:t xml:space="preserve"> </w:t>
      </w:r>
      <w:r w:rsidR="000F100C">
        <w:t xml:space="preserve">og april </w:t>
      </w:r>
      <w:r>
        <w:t xml:space="preserve">måned </w:t>
      </w:r>
      <w:r w:rsidRPr="005A5267">
        <w:t>202</w:t>
      </w:r>
      <w:r w:rsidR="001B06EA">
        <w:t>6</w:t>
      </w:r>
    </w:p>
    <w:p w14:paraId="7A6F8E32" w14:textId="77777777" w:rsidR="005A23E9" w:rsidRDefault="005A23E9" w:rsidP="00BE4C01">
      <w:pPr>
        <w:jc w:val="both"/>
      </w:pPr>
    </w:p>
    <w:p w14:paraId="61E4BB3F" w14:textId="77777777" w:rsidR="0076136D" w:rsidRDefault="0076136D" w:rsidP="00BE4C01">
      <w:pPr>
        <w:jc w:val="both"/>
      </w:pPr>
    </w:p>
    <w:tbl>
      <w:tblPr>
        <w:tblStyle w:val="Tabel-Gitter"/>
        <w:tblW w:w="0" w:type="auto"/>
        <w:tblLook w:val="04A0" w:firstRow="1" w:lastRow="0" w:firstColumn="1" w:lastColumn="0" w:noHBand="0" w:noVBand="1"/>
      </w:tblPr>
      <w:tblGrid>
        <w:gridCol w:w="9628"/>
      </w:tblGrid>
      <w:tr w:rsidR="00BE4C01" w14:paraId="00166C89" w14:textId="77777777" w:rsidTr="165C52FE">
        <w:tc>
          <w:tcPr>
            <w:tcW w:w="9628" w:type="dxa"/>
            <w:shd w:val="clear" w:color="auto" w:fill="D9D9D9" w:themeFill="background1" w:themeFillShade="D9"/>
          </w:tcPr>
          <w:p w14:paraId="6AB36AD5" w14:textId="79E26B0B" w:rsidR="00BE4C01" w:rsidRPr="005945AC" w:rsidRDefault="005945AC">
            <w:pPr>
              <w:rPr>
                <w:b/>
                <w:bCs/>
              </w:rPr>
            </w:pPr>
            <w:r w:rsidRPr="005945AC">
              <w:rPr>
                <w:b/>
                <w:bCs/>
              </w:rPr>
              <w:t>OVERBLIK</w:t>
            </w:r>
          </w:p>
        </w:tc>
      </w:tr>
      <w:tr w:rsidR="00BE4C01" w14:paraId="19A8CD66" w14:textId="77777777" w:rsidTr="165C52FE">
        <w:tc>
          <w:tcPr>
            <w:tcW w:w="9628" w:type="dxa"/>
          </w:tcPr>
          <w:p w14:paraId="55F8B3A1" w14:textId="77777777" w:rsidR="000C4499" w:rsidRDefault="000C4499"/>
          <w:p w14:paraId="20A7C751" w14:textId="3B866275" w:rsidR="00BB7E7A" w:rsidRDefault="009D7B72">
            <w:r>
              <w:t xml:space="preserve">Ny praksis fra Finanstilsynet om </w:t>
            </w:r>
            <w:proofErr w:type="spellStart"/>
            <w:r>
              <w:t>MAR’s</w:t>
            </w:r>
            <w:proofErr w:type="spellEnd"/>
            <w:r>
              <w:t xml:space="preserve"> regler om investeringsanbefalinger: </w:t>
            </w:r>
            <w:hyperlink w:anchor="A" w:history="1">
              <w:r w:rsidRPr="009D7B72">
                <w:rPr>
                  <w:rStyle w:val="Hyperlink"/>
                </w:rPr>
                <w:t>link</w:t>
              </w:r>
            </w:hyperlink>
          </w:p>
          <w:p w14:paraId="09AC0C2D" w14:textId="77777777" w:rsidR="009D7B72" w:rsidRDefault="009D7B72"/>
          <w:p w14:paraId="652A86DD" w14:textId="6CB98435" w:rsidR="009D7B72" w:rsidRDefault="00A84142">
            <w:r>
              <w:t xml:space="preserve">Nye </w:t>
            </w:r>
            <w:proofErr w:type="spellStart"/>
            <w:r w:rsidR="00AE4A57">
              <w:t>Q&amp;A’s</w:t>
            </w:r>
            <w:proofErr w:type="spellEnd"/>
            <w:r w:rsidR="00AE4A57">
              <w:t xml:space="preserve"> fra ESMA om </w:t>
            </w:r>
            <w:r w:rsidR="00F811EB">
              <w:t xml:space="preserve">Consolidated Tape: </w:t>
            </w:r>
            <w:hyperlink w:anchor="B" w:history="1">
              <w:r w:rsidR="00F811EB" w:rsidRPr="00F811EB">
                <w:rPr>
                  <w:rStyle w:val="Hyperlink"/>
                </w:rPr>
                <w:t>link</w:t>
              </w:r>
            </w:hyperlink>
          </w:p>
          <w:p w14:paraId="774E809C" w14:textId="77777777" w:rsidR="00BB7E7A" w:rsidRDefault="00BB7E7A"/>
        </w:tc>
      </w:tr>
      <w:tr w:rsidR="00BE4C01" w14:paraId="531CF982" w14:textId="77777777" w:rsidTr="165C52FE">
        <w:tc>
          <w:tcPr>
            <w:tcW w:w="9628" w:type="dxa"/>
            <w:shd w:val="clear" w:color="auto" w:fill="D9D9D9" w:themeFill="background1" w:themeFillShade="D9"/>
          </w:tcPr>
          <w:p w14:paraId="7BDC7261" w14:textId="6D8F2E20" w:rsidR="00BE4C01" w:rsidRPr="005945AC" w:rsidRDefault="00BE4C01" w:rsidP="00BE4C01">
            <w:pPr>
              <w:pStyle w:val="Listeafsnit"/>
              <w:numPr>
                <w:ilvl w:val="0"/>
                <w:numId w:val="1"/>
              </w:numPr>
              <w:rPr>
                <w:b/>
                <w:bCs/>
              </w:rPr>
            </w:pPr>
            <w:r w:rsidRPr="005945AC">
              <w:rPr>
                <w:b/>
                <w:bCs/>
              </w:rPr>
              <w:t>DANSK REGULERING</w:t>
            </w:r>
          </w:p>
        </w:tc>
      </w:tr>
      <w:tr w:rsidR="00BE4C01" w14:paraId="31E09EBE" w14:textId="77777777" w:rsidTr="165C52FE">
        <w:tc>
          <w:tcPr>
            <w:tcW w:w="9628" w:type="dxa"/>
            <w:shd w:val="clear" w:color="auto" w:fill="D9D9D9" w:themeFill="background1" w:themeFillShade="D9"/>
          </w:tcPr>
          <w:p w14:paraId="199CDD40" w14:textId="62239D98" w:rsidR="00BE4C01" w:rsidRPr="005945AC" w:rsidRDefault="00BE4C01" w:rsidP="00BE4C01">
            <w:pPr>
              <w:pStyle w:val="Listeafsnit"/>
              <w:numPr>
                <w:ilvl w:val="1"/>
                <w:numId w:val="1"/>
              </w:numPr>
              <w:rPr>
                <w:b/>
                <w:bCs/>
              </w:rPr>
            </w:pPr>
            <w:r w:rsidRPr="005945AC">
              <w:rPr>
                <w:b/>
                <w:bCs/>
              </w:rPr>
              <w:t xml:space="preserve"> Love</w:t>
            </w:r>
          </w:p>
        </w:tc>
      </w:tr>
      <w:tr w:rsidR="00BE4C01" w14:paraId="786DA9D6" w14:textId="77777777" w:rsidTr="165C52FE">
        <w:tc>
          <w:tcPr>
            <w:tcW w:w="9628" w:type="dxa"/>
          </w:tcPr>
          <w:p w14:paraId="4CEE6C23" w14:textId="77777777" w:rsidR="00BE4C01" w:rsidRDefault="00BE4C01"/>
          <w:p w14:paraId="0070619A" w14:textId="4DBA40D6" w:rsidR="000C4499" w:rsidRDefault="000C4499">
            <w:r>
              <w:t>Intet nyt.</w:t>
            </w:r>
          </w:p>
          <w:p w14:paraId="1136A53C" w14:textId="77777777" w:rsidR="000C4499" w:rsidRDefault="000C4499"/>
        </w:tc>
      </w:tr>
      <w:tr w:rsidR="00BE4C01" w14:paraId="46B86ADE" w14:textId="77777777" w:rsidTr="165C52FE">
        <w:tc>
          <w:tcPr>
            <w:tcW w:w="9628" w:type="dxa"/>
            <w:shd w:val="clear" w:color="auto" w:fill="D9D9D9" w:themeFill="background1" w:themeFillShade="D9"/>
          </w:tcPr>
          <w:p w14:paraId="22197C0B" w14:textId="3757CD86" w:rsidR="00BE4C01" w:rsidRPr="005945AC" w:rsidRDefault="00BE4C01" w:rsidP="00BE4C01">
            <w:pPr>
              <w:pStyle w:val="Listeafsnit"/>
              <w:numPr>
                <w:ilvl w:val="1"/>
                <w:numId w:val="1"/>
              </w:numPr>
              <w:rPr>
                <w:b/>
                <w:bCs/>
              </w:rPr>
            </w:pPr>
            <w:r w:rsidRPr="005945AC">
              <w:rPr>
                <w:b/>
                <w:bCs/>
              </w:rPr>
              <w:t>Bekendtgørelse</w:t>
            </w:r>
            <w:r w:rsidR="00136D9B">
              <w:rPr>
                <w:b/>
                <w:bCs/>
              </w:rPr>
              <w:t>r</w:t>
            </w:r>
            <w:r w:rsidRPr="005945AC">
              <w:rPr>
                <w:b/>
                <w:bCs/>
              </w:rPr>
              <w:t xml:space="preserve"> m.v.</w:t>
            </w:r>
          </w:p>
        </w:tc>
      </w:tr>
      <w:tr w:rsidR="00BE4C01" w14:paraId="159B5602" w14:textId="77777777" w:rsidTr="165C52FE">
        <w:tc>
          <w:tcPr>
            <w:tcW w:w="9628" w:type="dxa"/>
          </w:tcPr>
          <w:p w14:paraId="0621FFFF" w14:textId="77777777" w:rsidR="00BE4C01" w:rsidRDefault="00BE4C01"/>
          <w:p w14:paraId="7DEE286F" w14:textId="3EBF8CF3" w:rsidR="000C4499" w:rsidRDefault="6BE8F93B" w:rsidP="002A4EAF">
            <w:pPr>
              <w:shd w:val="clear" w:color="auto" w:fill="FFFFFF" w:themeFill="background1"/>
              <w:jc w:val="both"/>
              <w:rPr>
                <w:rFonts w:ascii="Calibri" w:eastAsia="Calibri" w:hAnsi="Calibri" w:cs="Calibri"/>
                <w:b/>
                <w:bCs/>
                <w:color w:val="000000" w:themeColor="text1"/>
              </w:rPr>
            </w:pPr>
            <w:bookmarkStart w:id="0" w:name="A"/>
            <w:r w:rsidRPr="165C52FE">
              <w:rPr>
                <w:rFonts w:ascii="Calibri" w:eastAsia="Calibri" w:hAnsi="Calibri" w:cs="Calibri"/>
                <w:b/>
                <w:bCs/>
                <w:color w:val="000000" w:themeColor="text1"/>
              </w:rPr>
              <w:t>Påtale for overtrædelse af reglerne om investeringsanbefalinger i markedsmisbrugsforordningen</w:t>
            </w:r>
          </w:p>
          <w:bookmarkEnd w:id="0"/>
          <w:p w14:paraId="1274CC26" w14:textId="00A56028" w:rsidR="000C4499" w:rsidRDefault="000C4499" w:rsidP="002A4EAF">
            <w:pPr>
              <w:shd w:val="clear" w:color="auto" w:fill="FFFFFF" w:themeFill="background1"/>
              <w:jc w:val="both"/>
              <w:rPr>
                <w:rFonts w:ascii="Calibri" w:eastAsia="Calibri" w:hAnsi="Calibri" w:cs="Calibri"/>
                <w:b/>
                <w:bCs/>
                <w:color w:val="000000" w:themeColor="text1"/>
              </w:rPr>
            </w:pPr>
          </w:p>
          <w:p w14:paraId="1DA32CFA" w14:textId="75624D52" w:rsidR="000C4499" w:rsidRDefault="6BE8F93B" w:rsidP="002A4EAF">
            <w:pPr>
              <w:shd w:val="clear" w:color="auto" w:fill="FFFFFF" w:themeFill="background1"/>
              <w:jc w:val="both"/>
              <w:rPr>
                <w:rFonts w:ascii="Calibri" w:eastAsia="Calibri" w:hAnsi="Calibri" w:cs="Calibri"/>
                <w:color w:val="000000" w:themeColor="text1"/>
              </w:rPr>
            </w:pPr>
            <w:r w:rsidRPr="165C52FE">
              <w:rPr>
                <w:rFonts w:ascii="Calibri" w:eastAsia="Calibri" w:hAnsi="Calibri" w:cs="Calibri"/>
                <w:color w:val="000000" w:themeColor="text1"/>
              </w:rPr>
              <w:t>Finanstilsynet har den 7. april 2026 påtalt, at en person har udarbejdet en investeringsanbefaling og i forbindelse hermed ikke har afsløret interessekonflikter, ved at undlade at oplyse om sin beholdning af aktier i den underliggende aktie, som anbefalingen vedrører.</w:t>
            </w:r>
          </w:p>
          <w:p w14:paraId="3440F861" w14:textId="523FA501" w:rsidR="000C4499" w:rsidRDefault="000C4499" w:rsidP="002A4EAF">
            <w:pPr>
              <w:shd w:val="clear" w:color="auto" w:fill="FFFFFF" w:themeFill="background1"/>
              <w:jc w:val="both"/>
              <w:rPr>
                <w:rFonts w:ascii="Calibri" w:eastAsia="Calibri" w:hAnsi="Calibri" w:cs="Calibri"/>
                <w:color w:val="000000" w:themeColor="text1"/>
              </w:rPr>
            </w:pPr>
          </w:p>
          <w:p w14:paraId="4F8A7ACA" w14:textId="31AA5CD6" w:rsidR="000C4499" w:rsidRDefault="6BE8F93B" w:rsidP="002A4EAF">
            <w:pPr>
              <w:shd w:val="clear" w:color="auto" w:fill="FFFFFF" w:themeFill="background1"/>
              <w:jc w:val="both"/>
              <w:rPr>
                <w:rFonts w:ascii="Calibri" w:eastAsia="Calibri" w:hAnsi="Calibri" w:cs="Calibri"/>
                <w:color w:val="000000" w:themeColor="text1"/>
              </w:rPr>
            </w:pPr>
            <w:r w:rsidRPr="165C52FE">
              <w:rPr>
                <w:rFonts w:ascii="Calibri" w:eastAsia="Calibri" w:hAnsi="Calibri" w:cs="Calibri"/>
                <w:color w:val="000000" w:themeColor="text1"/>
              </w:rPr>
              <w:t>Personen er analytiker og udarbejdede og delte et notat om en aktie optaget til handel på Nasdaq Copenhagen Main Market. Notatet indeholder personens egne beregninger og vurderinger af den teoretiske pris pr. aktie, som var baseret på udstederen bag aktiens egne offentliggjorte finansielle målsætninger, der blev offentliggjort kort tid forinden. Efter færdiggørelse, blev notatet distribueret til en bred intern mailgruppe på den pågældendes arbejdsplads samt til flere eksterne personer.</w:t>
            </w:r>
          </w:p>
          <w:p w14:paraId="1EC57BCC" w14:textId="67D24444" w:rsidR="000C4499" w:rsidRDefault="000C4499" w:rsidP="002A4EAF">
            <w:pPr>
              <w:shd w:val="clear" w:color="auto" w:fill="FFFFFF" w:themeFill="background1"/>
              <w:jc w:val="both"/>
              <w:rPr>
                <w:rFonts w:ascii="Calibri" w:eastAsia="Calibri" w:hAnsi="Calibri" w:cs="Calibri"/>
                <w:color w:val="000000" w:themeColor="text1"/>
              </w:rPr>
            </w:pPr>
          </w:p>
          <w:p w14:paraId="6536781F" w14:textId="0466C258" w:rsidR="000C4499" w:rsidRDefault="6BE8F93B" w:rsidP="002A4EAF">
            <w:pPr>
              <w:shd w:val="clear" w:color="auto" w:fill="FFFFFF" w:themeFill="background1"/>
              <w:jc w:val="both"/>
              <w:rPr>
                <w:rFonts w:ascii="Calibri" w:eastAsia="Calibri" w:hAnsi="Calibri" w:cs="Calibri"/>
                <w:color w:val="000000" w:themeColor="text1"/>
              </w:rPr>
            </w:pPr>
            <w:r w:rsidRPr="165C52FE">
              <w:rPr>
                <w:rFonts w:ascii="Calibri" w:eastAsia="Calibri" w:hAnsi="Calibri" w:cs="Calibri"/>
                <w:color w:val="000000" w:themeColor="text1"/>
              </w:rPr>
              <w:t>Finanstilsynet vurderer, at notatet udgør en investeringsanbefaling efter art. 3, stk. 1, nr. 35, i markedsmisbrugsforordningen. I vurderingen lægger Finanstilsynet vægt på, at notatet går udover blot at referere til udstederens målsætninger, idet målsætningerne inddrages som grundlag for kvantitative beregninger og vurderinger af, hvad udstederens ambitioner kan betyde for den teoretiske pris pr. aktie. Notatet anvender formuleringer og udtryk, der præsenterer aktien som en idé og skaber en positiv kontrast mellem den aktuelle kurs og den potentielle fremtidige kurs. På den baggrund vurderer Finanstilsynet, at notatet er egnet til at påvirke modtagerens holdning til det finansielle instrument og derfor skal defineres som en indirekte investeringsanbefaling. </w:t>
            </w:r>
          </w:p>
          <w:p w14:paraId="25215A25" w14:textId="46BBEA88" w:rsidR="000C4499" w:rsidRDefault="000C4499" w:rsidP="002A4EAF">
            <w:pPr>
              <w:shd w:val="clear" w:color="auto" w:fill="FFFFFF" w:themeFill="background1"/>
              <w:jc w:val="both"/>
              <w:rPr>
                <w:rFonts w:ascii="Calibri" w:eastAsia="Calibri" w:hAnsi="Calibri" w:cs="Calibri"/>
                <w:color w:val="000000" w:themeColor="text1"/>
              </w:rPr>
            </w:pPr>
          </w:p>
          <w:p w14:paraId="5CFE667B" w14:textId="16E04690" w:rsidR="000C4499" w:rsidRDefault="6BE8F93B" w:rsidP="002A4EAF">
            <w:pPr>
              <w:shd w:val="clear" w:color="auto" w:fill="FFFFFF" w:themeFill="background1"/>
              <w:jc w:val="both"/>
              <w:rPr>
                <w:rFonts w:ascii="Calibri" w:eastAsia="Calibri" w:hAnsi="Calibri" w:cs="Calibri"/>
                <w:color w:val="000000" w:themeColor="text1"/>
              </w:rPr>
            </w:pPr>
            <w:r w:rsidRPr="165C52FE">
              <w:rPr>
                <w:rFonts w:ascii="Calibri" w:eastAsia="Calibri" w:hAnsi="Calibri" w:cs="Calibri"/>
                <w:color w:val="000000" w:themeColor="text1"/>
              </w:rPr>
              <w:t>På tidspunktet for delingen af notatet havde personen en beholdning af samme aktie, som anbefaledes i notatet, hvilket Finanstilsynet vurderer udgør en væsentlig interessekonflikt. Interessekonflikten blev ikke oplyst i notatet eller deklareret på anden måde, hvilket er i strid med artikel 20, stk. 1, i markedsmisbrugsforordningen, der kræver, at relevante interessekonflikter skal afsløres ved udarbejdelse og udbredelse af investeringsanbefalinger.</w:t>
            </w:r>
          </w:p>
          <w:p w14:paraId="20613E0B" w14:textId="2401D3F3" w:rsidR="000C4499" w:rsidRDefault="000C4499" w:rsidP="002A4EAF">
            <w:pPr>
              <w:shd w:val="clear" w:color="auto" w:fill="FFFFFF" w:themeFill="background1"/>
              <w:jc w:val="both"/>
              <w:rPr>
                <w:rFonts w:ascii="Calibri" w:eastAsia="Calibri" w:hAnsi="Calibri" w:cs="Calibri"/>
                <w:color w:val="000000" w:themeColor="text1"/>
              </w:rPr>
            </w:pPr>
          </w:p>
          <w:p w14:paraId="74F43992" w14:textId="1D2BD29B" w:rsidR="005A0E50" w:rsidRDefault="6BE8F93B" w:rsidP="0076136D">
            <w:pPr>
              <w:shd w:val="clear" w:color="auto" w:fill="FFFFFF" w:themeFill="background1"/>
              <w:jc w:val="both"/>
            </w:pPr>
            <w:r w:rsidRPr="165C52FE">
              <w:rPr>
                <w:rFonts w:ascii="Calibri" w:eastAsia="Calibri" w:hAnsi="Calibri" w:cs="Calibri"/>
                <w:color w:val="000000" w:themeColor="text1"/>
              </w:rPr>
              <w:t xml:space="preserve">(Offentliggjort den 7. april 2026, </w:t>
            </w:r>
            <w:hyperlink r:id="rId9">
              <w:r w:rsidRPr="165C52FE">
                <w:rPr>
                  <w:rStyle w:val="Hyperlink"/>
                  <w:rFonts w:ascii="Calibri" w:eastAsia="Calibri" w:hAnsi="Calibri" w:cs="Calibri"/>
                </w:rPr>
                <w:t>link</w:t>
              </w:r>
            </w:hyperlink>
            <w:r w:rsidRPr="165C52FE">
              <w:rPr>
                <w:rFonts w:ascii="Calibri" w:eastAsia="Calibri" w:hAnsi="Calibri" w:cs="Calibri"/>
                <w:color w:val="000000" w:themeColor="text1"/>
              </w:rPr>
              <w:t>)</w:t>
            </w:r>
          </w:p>
          <w:p w14:paraId="2BE89B52" w14:textId="77777777" w:rsidR="005A0E50" w:rsidRDefault="005A0E50"/>
        </w:tc>
      </w:tr>
      <w:tr w:rsidR="00BE4C01" w14:paraId="2E8F680D" w14:textId="77777777" w:rsidTr="165C52FE">
        <w:tc>
          <w:tcPr>
            <w:tcW w:w="9628" w:type="dxa"/>
            <w:shd w:val="clear" w:color="auto" w:fill="D9D9D9" w:themeFill="background1" w:themeFillShade="D9"/>
          </w:tcPr>
          <w:p w14:paraId="033F4D91" w14:textId="215F6731" w:rsidR="00BE4C01" w:rsidRPr="005945AC" w:rsidRDefault="00BE4C01" w:rsidP="00BE4C01">
            <w:pPr>
              <w:pStyle w:val="Listeafsnit"/>
              <w:numPr>
                <w:ilvl w:val="0"/>
                <w:numId w:val="1"/>
              </w:numPr>
              <w:rPr>
                <w:b/>
                <w:bCs/>
              </w:rPr>
            </w:pPr>
            <w:r w:rsidRPr="005945AC">
              <w:rPr>
                <w:b/>
                <w:bCs/>
              </w:rPr>
              <w:lastRenderedPageBreak/>
              <w:t>EU-REGULERING (forordninger)</w:t>
            </w:r>
          </w:p>
        </w:tc>
      </w:tr>
      <w:tr w:rsidR="00BE4C01" w14:paraId="6AF8D239" w14:textId="77777777" w:rsidTr="165C52FE">
        <w:tc>
          <w:tcPr>
            <w:tcW w:w="9628" w:type="dxa"/>
            <w:shd w:val="clear" w:color="auto" w:fill="D9D9D9" w:themeFill="background1" w:themeFillShade="D9"/>
          </w:tcPr>
          <w:p w14:paraId="0C426A68" w14:textId="017C4220" w:rsidR="00BE4C01" w:rsidRPr="005945AC" w:rsidRDefault="00BE4C01" w:rsidP="00BE4C01">
            <w:pPr>
              <w:pStyle w:val="Listeafsnit"/>
              <w:numPr>
                <w:ilvl w:val="1"/>
                <w:numId w:val="1"/>
              </w:numPr>
              <w:rPr>
                <w:b/>
                <w:bCs/>
              </w:rPr>
            </w:pPr>
            <w:r w:rsidRPr="005945AC">
              <w:rPr>
                <w:b/>
                <w:bCs/>
              </w:rPr>
              <w:t>Niveau 1</w:t>
            </w:r>
          </w:p>
        </w:tc>
      </w:tr>
      <w:tr w:rsidR="00BE4C01" w14:paraId="1DF6C69F" w14:textId="77777777" w:rsidTr="165C52FE">
        <w:tc>
          <w:tcPr>
            <w:tcW w:w="9628" w:type="dxa"/>
          </w:tcPr>
          <w:p w14:paraId="2173CA55" w14:textId="77777777" w:rsidR="00BE4C01" w:rsidRDefault="00BE4C01"/>
          <w:p w14:paraId="2D560264" w14:textId="7E5B9890" w:rsidR="00BB7E7A" w:rsidRDefault="00BB7E7A">
            <w:r>
              <w:t>Intet nyt.</w:t>
            </w:r>
          </w:p>
          <w:p w14:paraId="010E559B" w14:textId="77777777" w:rsidR="000C4499" w:rsidRDefault="000C4499" w:rsidP="00F554A8"/>
        </w:tc>
      </w:tr>
      <w:tr w:rsidR="00BE4C01" w14:paraId="33726393" w14:textId="77777777" w:rsidTr="165C52FE">
        <w:tc>
          <w:tcPr>
            <w:tcW w:w="9628" w:type="dxa"/>
            <w:shd w:val="clear" w:color="auto" w:fill="D9D9D9" w:themeFill="background1" w:themeFillShade="D9"/>
          </w:tcPr>
          <w:p w14:paraId="5443431C" w14:textId="42CA405D" w:rsidR="00BE4C01" w:rsidRPr="005945AC" w:rsidRDefault="00BE4C01" w:rsidP="00BE4C01">
            <w:pPr>
              <w:pStyle w:val="Listeafsnit"/>
              <w:numPr>
                <w:ilvl w:val="1"/>
                <w:numId w:val="1"/>
              </w:numPr>
              <w:rPr>
                <w:b/>
                <w:bCs/>
              </w:rPr>
            </w:pPr>
            <w:r w:rsidRPr="005945AC">
              <w:rPr>
                <w:b/>
                <w:bCs/>
              </w:rPr>
              <w:t>Niveau 2</w:t>
            </w:r>
          </w:p>
        </w:tc>
      </w:tr>
      <w:tr w:rsidR="00BE4C01" w14:paraId="041C1121" w14:textId="77777777" w:rsidTr="165C52FE">
        <w:tc>
          <w:tcPr>
            <w:tcW w:w="9628" w:type="dxa"/>
          </w:tcPr>
          <w:p w14:paraId="1ED30285" w14:textId="77777777" w:rsidR="00BE4C01" w:rsidRDefault="00BE4C01"/>
          <w:p w14:paraId="26457170" w14:textId="77777777" w:rsidR="000C4499" w:rsidRDefault="000C4499" w:rsidP="000C4499">
            <w:r>
              <w:t>Intet nyt.</w:t>
            </w:r>
          </w:p>
          <w:p w14:paraId="570C0B58" w14:textId="77777777" w:rsidR="000C4499" w:rsidRDefault="000C4499"/>
        </w:tc>
      </w:tr>
      <w:tr w:rsidR="00BE4C01" w14:paraId="15D16C97" w14:textId="77777777" w:rsidTr="165C52FE">
        <w:tc>
          <w:tcPr>
            <w:tcW w:w="9628" w:type="dxa"/>
            <w:shd w:val="clear" w:color="auto" w:fill="D9D9D9" w:themeFill="background1" w:themeFillShade="D9"/>
          </w:tcPr>
          <w:p w14:paraId="2EAF4AB2" w14:textId="47D47A5D" w:rsidR="00BE4C01" w:rsidRPr="005945AC" w:rsidRDefault="00BE4C01" w:rsidP="00BE4C01">
            <w:pPr>
              <w:pStyle w:val="Listeafsnit"/>
              <w:numPr>
                <w:ilvl w:val="0"/>
                <w:numId w:val="1"/>
              </w:numPr>
              <w:rPr>
                <w:b/>
                <w:bCs/>
              </w:rPr>
            </w:pPr>
            <w:r w:rsidRPr="005945AC">
              <w:rPr>
                <w:b/>
                <w:bCs/>
              </w:rPr>
              <w:t>RETNINGSLINJER FRA ESA’ERNE</w:t>
            </w:r>
          </w:p>
        </w:tc>
      </w:tr>
      <w:tr w:rsidR="00BE4C01" w14:paraId="7EFB212B" w14:textId="77777777" w:rsidTr="165C52FE">
        <w:tc>
          <w:tcPr>
            <w:tcW w:w="9628" w:type="dxa"/>
            <w:shd w:val="clear" w:color="auto" w:fill="D9D9D9" w:themeFill="background1" w:themeFillShade="D9"/>
          </w:tcPr>
          <w:p w14:paraId="08A36234" w14:textId="6C0B6A7D" w:rsidR="00BE4C01" w:rsidRPr="005945AC" w:rsidRDefault="00BE4C01" w:rsidP="00BE4C01">
            <w:pPr>
              <w:pStyle w:val="Listeafsnit"/>
              <w:numPr>
                <w:ilvl w:val="1"/>
                <w:numId w:val="1"/>
              </w:numPr>
              <w:rPr>
                <w:b/>
                <w:bCs/>
              </w:rPr>
            </w:pPr>
            <w:r w:rsidRPr="005945AC">
              <w:rPr>
                <w:b/>
                <w:bCs/>
              </w:rPr>
              <w:t>EBA</w:t>
            </w:r>
          </w:p>
        </w:tc>
      </w:tr>
      <w:tr w:rsidR="00BE4C01" w14:paraId="46B54A56" w14:textId="77777777" w:rsidTr="165C52FE">
        <w:tc>
          <w:tcPr>
            <w:tcW w:w="9628" w:type="dxa"/>
          </w:tcPr>
          <w:p w14:paraId="33821964" w14:textId="77777777" w:rsidR="00BE4C01" w:rsidRDefault="00BE4C01"/>
          <w:p w14:paraId="286F3548" w14:textId="77777777" w:rsidR="000C4499" w:rsidRDefault="000C4499" w:rsidP="000C4499">
            <w:r>
              <w:t>Intet nyt.</w:t>
            </w:r>
          </w:p>
          <w:p w14:paraId="5E1E2D1B" w14:textId="77777777" w:rsidR="000C4499" w:rsidRDefault="000C4499"/>
        </w:tc>
      </w:tr>
      <w:tr w:rsidR="00BE4C01" w14:paraId="2CFF0838" w14:textId="77777777" w:rsidTr="165C52FE">
        <w:tc>
          <w:tcPr>
            <w:tcW w:w="9628" w:type="dxa"/>
            <w:shd w:val="clear" w:color="auto" w:fill="D9D9D9" w:themeFill="background1" w:themeFillShade="D9"/>
          </w:tcPr>
          <w:p w14:paraId="01FEF4B9" w14:textId="752585A1" w:rsidR="00BE4C01" w:rsidRPr="005945AC" w:rsidRDefault="00BE4C01" w:rsidP="00BE4C01">
            <w:pPr>
              <w:pStyle w:val="Listeafsnit"/>
              <w:numPr>
                <w:ilvl w:val="1"/>
                <w:numId w:val="1"/>
              </w:numPr>
              <w:rPr>
                <w:b/>
                <w:bCs/>
              </w:rPr>
            </w:pPr>
            <w:r w:rsidRPr="005945AC">
              <w:rPr>
                <w:b/>
                <w:bCs/>
              </w:rPr>
              <w:t>ESMA</w:t>
            </w:r>
          </w:p>
        </w:tc>
      </w:tr>
      <w:tr w:rsidR="00BE4C01" w14:paraId="7F315866" w14:textId="77777777" w:rsidTr="165C52FE">
        <w:tc>
          <w:tcPr>
            <w:tcW w:w="9628" w:type="dxa"/>
          </w:tcPr>
          <w:p w14:paraId="5BB9D650" w14:textId="77777777" w:rsidR="00BE4C01" w:rsidRDefault="00BE4C01"/>
          <w:p w14:paraId="1E27435F" w14:textId="77777777" w:rsidR="00F73C56" w:rsidRPr="00E17E62" w:rsidRDefault="00F73C56" w:rsidP="00F73C56">
            <w:pPr>
              <w:shd w:val="clear" w:color="auto" w:fill="FFFFFF" w:themeFill="background1"/>
              <w:jc w:val="both"/>
              <w:rPr>
                <w:rFonts w:ascii="Calibri" w:eastAsia="Calibri" w:hAnsi="Calibri" w:cs="Calibri"/>
                <w:b/>
                <w:bCs/>
              </w:rPr>
            </w:pPr>
            <w:bookmarkStart w:id="1" w:name="B"/>
            <w:r w:rsidRPr="00480666">
              <w:rPr>
                <w:rFonts w:ascii="Calibri" w:eastAsia="Calibri" w:hAnsi="Calibri" w:cs="Calibri"/>
                <w:b/>
                <w:bCs/>
              </w:rPr>
              <w:t>ESMA præciserer forventningerne op til lanceringen af EU's Consolidated Tapes</w:t>
            </w:r>
          </w:p>
          <w:bookmarkEnd w:id="1"/>
          <w:p w14:paraId="1173EB46" w14:textId="77777777" w:rsidR="00F73C56" w:rsidRDefault="00F73C56" w:rsidP="00F73C56">
            <w:pPr>
              <w:shd w:val="clear" w:color="auto" w:fill="FFFFFF" w:themeFill="background1"/>
              <w:jc w:val="both"/>
              <w:rPr>
                <w:rFonts w:ascii="Calibri" w:eastAsia="Calibri" w:hAnsi="Calibri" w:cs="Calibri"/>
              </w:rPr>
            </w:pPr>
          </w:p>
          <w:p w14:paraId="63505EBD" w14:textId="56E7B0BB" w:rsidR="00F73C56" w:rsidRPr="00E17E62" w:rsidRDefault="00F73C56" w:rsidP="00F73C56">
            <w:pPr>
              <w:shd w:val="clear" w:color="auto" w:fill="FFFFFF" w:themeFill="background1"/>
              <w:jc w:val="both"/>
              <w:rPr>
                <w:rFonts w:ascii="Calibri" w:eastAsia="Calibri" w:hAnsi="Calibri" w:cs="Calibri"/>
              </w:rPr>
            </w:pPr>
            <w:r>
              <w:rPr>
                <w:rFonts w:ascii="Calibri" w:eastAsia="Calibri" w:hAnsi="Calibri" w:cs="Calibri"/>
              </w:rPr>
              <w:t xml:space="preserve">ESMA </w:t>
            </w:r>
            <w:r w:rsidRPr="00A36A0E">
              <w:rPr>
                <w:rFonts w:ascii="Calibri" w:eastAsia="Calibri" w:hAnsi="Calibri" w:cs="Calibri"/>
              </w:rPr>
              <w:t xml:space="preserve">har offentliggjort </w:t>
            </w:r>
            <w:proofErr w:type="spellStart"/>
            <w:r w:rsidRPr="00A36A0E">
              <w:rPr>
                <w:rFonts w:ascii="Calibri" w:eastAsia="Calibri" w:hAnsi="Calibri" w:cs="Calibri"/>
              </w:rPr>
              <w:t>Q&amp;A</w:t>
            </w:r>
            <w:r>
              <w:rPr>
                <w:rFonts w:ascii="Calibri" w:eastAsia="Calibri" w:hAnsi="Calibri" w:cs="Calibri"/>
              </w:rPr>
              <w:t>s</w:t>
            </w:r>
            <w:proofErr w:type="spellEnd"/>
            <w:r w:rsidRPr="00A36A0E">
              <w:rPr>
                <w:rFonts w:ascii="Calibri" w:eastAsia="Calibri" w:hAnsi="Calibri" w:cs="Calibri"/>
              </w:rPr>
              <w:t xml:space="preserve"> om </w:t>
            </w:r>
            <w:proofErr w:type="spellStart"/>
            <w:r w:rsidRPr="00A36A0E">
              <w:rPr>
                <w:rFonts w:ascii="Calibri" w:eastAsia="Calibri" w:hAnsi="Calibri" w:cs="Calibri"/>
              </w:rPr>
              <w:t>onboarding</w:t>
            </w:r>
            <w:proofErr w:type="spellEnd"/>
            <w:r w:rsidRPr="00A36A0E">
              <w:rPr>
                <w:rFonts w:ascii="Calibri" w:eastAsia="Calibri" w:hAnsi="Calibri" w:cs="Calibri"/>
              </w:rPr>
              <w:t xml:space="preserve"> af databidragydere til EU's Consolidated Tapes (</w:t>
            </w:r>
            <w:proofErr w:type="spellStart"/>
            <w:r w:rsidRPr="00A36A0E">
              <w:rPr>
                <w:rFonts w:ascii="Calibri" w:eastAsia="Calibri" w:hAnsi="Calibri" w:cs="Calibri"/>
              </w:rPr>
              <w:t>CTs</w:t>
            </w:r>
            <w:proofErr w:type="spellEnd"/>
            <w:r w:rsidRPr="00A36A0E">
              <w:rPr>
                <w:rFonts w:ascii="Calibri" w:eastAsia="Calibri" w:hAnsi="Calibri" w:cs="Calibri"/>
              </w:rPr>
              <w:t>) og om driftsreglerne for Consolidated Tape Providers (</w:t>
            </w:r>
            <w:proofErr w:type="spellStart"/>
            <w:r w:rsidRPr="00A36A0E">
              <w:rPr>
                <w:rFonts w:ascii="Calibri" w:eastAsia="Calibri" w:hAnsi="Calibri" w:cs="Calibri"/>
              </w:rPr>
              <w:t>CTP'er</w:t>
            </w:r>
            <w:proofErr w:type="spellEnd"/>
            <w:r w:rsidRPr="00A36A0E">
              <w:rPr>
                <w:rFonts w:ascii="Calibri" w:eastAsia="Calibri" w:hAnsi="Calibri" w:cs="Calibri"/>
              </w:rPr>
              <w:t xml:space="preserve">). </w:t>
            </w:r>
          </w:p>
          <w:p w14:paraId="03D3AB36" w14:textId="77777777" w:rsidR="00F73C56" w:rsidRDefault="00F73C56" w:rsidP="00F73C56">
            <w:pPr>
              <w:shd w:val="clear" w:color="auto" w:fill="FFFFFF" w:themeFill="background1"/>
              <w:jc w:val="both"/>
              <w:rPr>
                <w:rFonts w:ascii="Calibri" w:eastAsia="Calibri" w:hAnsi="Calibri" w:cs="Calibri"/>
              </w:rPr>
            </w:pPr>
          </w:p>
          <w:p w14:paraId="1D4F6097" w14:textId="2715A124" w:rsidR="00F73C56" w:rsidRPr="001F41EC" w:rsidRDefault="00F73C56" w:rsidP="00F73C56">
            <w:pPr>
              <w:shd w:val="clear" w:color="auto" w:fill="FFFFFF" w:themeFill="background1"/>
              <w:jc w:val="both"/>
              <w:rPr>
                <w:rFonts w:ascii="Calibri" w:eastAsia="Calibri" w:hAnsi="Calibri" w:cs="Calibri"/>
              </w:rPr>
            </w:pPr>
            <w:r w:rsidRPr="4263DC19">
              <w:rPr>
                <w:rFonts w:ascii="Calibri" w:eastAsia="Calibri" w:hAnsi="Calibri" w:cs="Calibri"/>
              </w:rPr>
              <w:t>(</w:t>
            </w:r>
            <w:r>
              <w:rPr>
                <w:rFonts w:ascii="Calibri" w:eastAsia="Calibri" w:hAnsi="Calibri" w:cs="Calibri"/>
              </w:rPr>
              <w:t>O</w:t>
            </w:r>
            <w:r w:rsidRPr="4263DC19">
              <w:rPr>
                <w:rFonts w:ascii="Calibri" w:eastAsia="Calibri" w:hAnsi="Calibri" w:cs="Calibri"/>
              </w:rPr>
              <w:t xml:space="preserve">ffentliggjort den </w:t>
            </w:r>
            <w:r>
              <w:rPr>
                <w:rFonts w:ascii="Calibri" w:eastAsia="Calibri" w:hAnsi="Calibri" w:cs="Calibri"/>
              </w:rPr>
              <w:t>1. april</w:t>
            </w:r>
            <w:r w:rsidRPr="4263DC19">
              <w:rPr>
                <w:rFonts w:ascii="Calibri" w:eastAsia="Calibri" w:hAnsi="Calibri" w:cs="Calibri"/>
              </w:rPr>
              <w:t xml:space="preserve"> 2026</w:t>
            </w:r>
            <w:r>
              <w:rPr>
                <w:rFonts w:ascii="Calibri" w:eastAsia="Calibri" w:hAnsi="Calibri" w:cs="Calibri"/>
              </w:rPr>
              <w:t xml:space="preserve">, </w:t>
            </w:r>
            <w:hyperlink r:id="rId10" w:history="1">
              <w:r w:rsidRPr="006D61DE">
                <w:rPr>
                  <w:rStyle w:val="Hyperlink"/>
                  <w:rFonts w:ascii="Calibri" w:eastAsia="Calibri" w:hAnsi="Calibri" w:cs="Calibri"/>
                </w:rPr>
                <w:t>li</w:t>
              </w:r>
              <w:r w:rsidRPr="006D61DE">
                <w:rPr>
                  <w:rStyle w:val="Hyperlink"/>
                  <w:rFonts w:ascii="Calibri" w:eastAsia="Calibri" w:hAnsi="Calibri" w:cs="Calibri"/>
                </w:rPr>
                <w:t>n</w:t>
              </w:r>
              <w:r w:rsidRPr="006D61DE">
                <w:rPr>
                  <w:rStyle w:val="Hyperlink"/>
                  <w:rFonts w:ascii="Calibri" w:eastAsia="Calibri" w:hAnsi="Calibri" w:cs="Calibri"/>
                </w:rPr>
                <w:t>k</w:t>
              </w:r>
            </w:hyperlink>
            <w:r>
              <w:rPr>
                <w:rFonts w:ascii="Calibri" w:eastAsia="Calibri" w:hAnsi="Calibri" w:cs="Calibri"/>
              </w:rPr>
              <w:t>)</w:t>
            </w:r>
          </w:p>
          <w:p w14:paraId="2F663A2E" w14:textId="4840C503" w:rsidR="000C4499" w:rsidRDefault="000C4499" w:rsidP="000C4499"/>
          <w:p w14:paraId="29E632A3" w14:textId="77777777" w:rsidR="000C4499" w:rsidRDefault="000C4499"/>
        </w:tc>
      </w:tr>
    </w:tbl>
    <w:p w14:paraId="329D25E6" w14:textId="77777777" w:rsidR="00BE4C01" w:rsidRDefault="00BE4C01"/>
    <w:p w14:paraId="1B8780A7" w14:textId="77777777" w:rsidR="002E1AE0" w:rsidRDefault="002E1AE0"/>
    <w:p w14:paraId="251BD954" w14:textId="20A318C1" w:rsidR="00BE4C01" w:rsidRPr="00BE4C01" w:rsidRDefault="00BE4C01" w:rsidP="00BE4C01">
      <w:pPr>
        <w:rPr>
          <w:i/>
          <w:iCs/>
        </w:rPr>
      </w:pPr>
      <w:r w:rsidRPr="00BE4C01">
        <w:rPr>
          <w:i/>
          <w:iCs/>
        </w:rPr>
        <w:t xml:space="preserve">Denne oversigt over ny finansiel regulering er udvalgt af </w:t>
      </w:r>
      <w:r w:rsidR="001928E1">
        <w:rPr>
          <w:i/>
          <w:iCs/>
        </w:rPr>
        <w:t>Equity Law Advokatanpartsselskab</w:t>
      </w:r>
      <w:r w:rsidRPr="00BE4C01">
        <w:rPr>
          <w:i/>
          <w:iCs/>
        </w:rPr>
        <w:t xml:space="preserve"> ud fra regulering, der retter sig direkte til fondsmæglerselskaber og deres </w:t>
      </w:r>
      <w:proofErr w:type="spellStart"/>
      <w:r w:rsidRPr="00BE4C01">
        <w:rPr>
          <w:i/>
          <w:iCs/>
        </w:rPr>
        <w:t>holdingvirksomheder</w:t>
      </w:r>
      <w:proofErr w:type="spellEnd"/>
      <w:r w:rsidRPr="00BE4C01">
        <w:rPr>
          <w:i/>
          <w:iCs/>
        </w:rPr>
        <w:t xml:space="preserve">. Oversigten er en informationstjeneste og udgør ikke juridisk rådgivning, og </w:t>
      </w:r>
      <w:r w:rsidR="000A03EB">
        <w:rPr>
          <w:i/>
          <w:iCs/>
        </w:rPr>
        <w:t>Equity Law Advokatanpartsselskab</w:t>
      </w:r>
      <w:r w:rsidRPr="00BE4C01">
        <w:rPr>
          <w:i/>
          <w:iCs/>
        </w:rPr>
        <w:t xml:space="preserve"> påtager sig ikke ansvar for fejl eller mangler. </w:t>
      </w:r>
      <w:r w:rsidRPr="00BE4C01">
        <w:rPr>
          <w:noProof/>
        </w:rPr>
        <w:drawing>
          <wp:anchor distT="0" distB="0" distL="114300" distR="114300" simplePos="0" relativeHeight="251659264" behindDoc="0" locked="0" layoutInCell="1" allowOverlap="1" wp14:anchorId="7F4E4D6D" wp14:editId="79FD38D8">
            <wp:simplePos x="0" y="0"/>
            <wp:positionH relativeFrom="column">
              <wp:posOffset>-4098</wp:posOffset>
            </wp:positionH>
            <wp:positionV relativeFrom="paragraph">
              <wp:posOffset>168</wp:posOffset>
            </wp:positionV>
            <wp:extent cx="1401445" cy="1504950"/>
            <wp:effectExtent l="0" t="0" r="8255" b="0"/>
            <wp:wrapSquare wrapText="bothSides"/>
            <wp:docPr id="1686948146" name="Billede 1686948146" descr="Et billede, der indeholder person, mur, menneske,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person, mur, menneske, indendørs&#10;&#10;Automatisk genereret beskrivels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3285"/>
                    <a:stretch/>
                  </pic:blipFill>
                  <pic:spPr bwMode="auto">
                    <a:xfrm>
                      <a:off x="0" y="0"/>
                      <a:ext cx="1401445" cy="1504950"/>
                    </a:xfrm>
                    <a:prstGeom prst="rect">
                      <a:avLst/>
                    </a:prstGeom>
                    <a:noFill/>
                    <a:ln>
                      <a:noFill/>
                    </a:ln>
                    <a:extLst>
                      <a:ext uri="{53640926-AAD7-44D8-BBD7-CCE9431645EC}">
                        <a14:shadowObscured xmlns:a14="http://schemas.microsoft.com/office/drawing/2010/main"/>
                      </a:ext>
                    </a:extLst>
                  </pic:spPr>
                </pic:pic>
              </a:graphicData>
            </a:graphic>
          </wp:anchor>
        </w:drawing>
      </w:r>
    </w:p>
    <w:p w14:paraId="386D39AB" w14:textId="228586F2" w:rsidR="00BE4C01" w:rsidRPr="00BE4C01" w:rsidRDefault="00BE4C01" w:rsidP="00BE4C01">
      <w:pPr>
        <w:rPr>
          <w:i/>
          <w:iCs/>
        </w:rPr>
      </w:pPr>
      <w:r w:rsidRPr="00BE4C01">
        <w:rPr>
          <w:i/>
          <w:iCs/>
        </w:rPr>
        <w:t xml:space="preserve">Oversigten er redigeret af advokat Camilla Søborg, </w:t>
      </w:r>
      <w:hyperlink r:id="rId12" w:history="1">
        <w:r w:rsidR="000A03EB" w:rsidRPr="00401311">
          <w:rPr>
            <w:rStyle w:val="Hyperlink"/>
            <w:i/>
            <w:iCs/>
          </w:rPr>
          <w:t>cas@equitylaw.dk</w:t>
        </w:r>
      </w:hyperlink>
      <w:r w:rsidRPr="00BE4C01">
        <w:rPr>
          <w:i/>
          <w:iCs/>
        </w:rPr>
        <w:t xml:space="preserve">, tlf. 53500914, som du kan </w:t>
      </w:r>
      <w:proofErr w:type="gramStart"/>
      <w:r w:rsidRPr="00BE4C01">
        <w:rPr>
          <w:i/>
          <w:iCs/>
        </w:rPr>
        <w:t>rette henvendelse</w:t>
      </w:r>
      <w:proofErr w:type="gramEnd"/>
      <w:r w:rsidRPr="00BE4C01">
        <w:rPr>
          <w:i/>
          <w:iCs/>
        </w:rPr>
        <w:t xml:space="preserve"> til, hvis du har kommentarer eller spørgsmål. </w:t>
      </w:r>
    </w:p>
    <w:p w14:paraId="514A19E8" w14:textId="77777777" w:rsidR="00BE4C01" w:rsidRPr="00BE4C01" w:rsidRDefault="00BE4C01" w:rsidP="00BE4C01">
      <w:pPr>
        <w:rPr>
          <w:i/>
          <w:iCs/>
        </w:rPr>
      </w:pPr>
    </w:p>
    <w:p w14:paraId="22D0A962" w14:textId="09AEDB04" w:rsidR="00BE4C01" w:rsidRPr="00BE4C01" w:rsidRDefault="006C57C3" w:rsidP="00BE4C01">
      <w:r>
        <w:rPr>
          <w:noProof/>
        </w:rPr>
        <w:drawing>
          <wp:inline distT="0" distB="0" distL="0" distR="0" wp14:anchorId="03371999" wp14:editId="5DB5042A">
            <wp:extent cx="1495425" cy="295275"/>
            <wp:effectExtent l="0" t="0" r="9525" b="9525"/>
            <wp:docPr id="994185766" name="Billede 1" descr="Et billede, der indeholder Font/skrifttype, Grafik, logo,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85766" name="Billede 1" descr="Et billede, der indeholder Font/skrifttype, Grafik, logo, tekst&#10;&#10;Automatisk genereret beskrivelse"/>
                    <pic:cNvPicPr>
                      <a:picLocks noChangeAspect="1" noChangeArrowheads="1"/>
                    </pic:cNvPicPr>
                  </pic:nvPicPr>
                  <pic:blipFill rotWithShape="1">
                    <a:blip r:embed="rId13">
                      <a:extLst>
                        <a:ext uri="{28A0092B-C50C-407E-A947-70E740481C1C}">
                          <a14:useLocalDpi xmlns:a14="http://schemas.microsoft.com/office/drawing/2010/main" val="0"/>
                        </a:ext>
                      </a:extLst>
                    </a:blip>
                    <a:srcRect l="9076" t="-2857" r="11765" b="14287"/>
                    <a:stretch/>
                  </pic:blipFill>
                  <pic:spPr bwMode="auto">
                    <a:xfrm>
                      <a:off x="0" y="0"/>
                      <a:ext cx="1495425" cy="295275"/>
                    </a:xfrm>
                    <a:prstGeom prst="rect">
                      <a:avLst/>
                    </a:prstGeom>
                    <a:noFill/>
                    <a:ln>
                      <a:noFill/>
                    </a:ln>
                    <a:extLst>
                      <a:ext uri="{53640926-AAD7-44D8-BBD7-CCE9431645EC}">
                        <a14:shadowObscured xmlns:a14="http://schemas.microsoft.com/office/drawing/2010/main"/>
                      </a:ext>
                    </a:extLst>
                  </pic:spPr>
                </pic:pic>
              </a:graphicData>
            </a:graphic>
          </wp:inline>
        </w:drawing>
      </w:r>
    </w:p>
    <w:p w14:paraId="39FECEBF" w14:textId="64DC358D" w:rsidR="00BE4C01" w:rsidRPr="00BE4C01" w:rsidRDefault="00A356F8" w:rsidP="00BE4C01">
      <w:r>
        <w:t>Equity Law Advokatanpartsselskab</w:t>
      </w:r>
      <w:r w:rsidR="00BE4C01" w:rsidRPr="00BE4C01">
        <w:t>,</w:t>
      </w:r>
      <w:r w:rsidR="00BE4C01" w:rsidRPr="00BE4C01">
        <w:rPr>
          <w:b/>
          <w:bCs/>
        </w:rPr>
        <w:t xml:space="preserve"> </w:t>
      </w:r>
      <w:r w:rsidR="00BE4C01" w:rsidRPr="00BE4C01">
        <w:t xml:space="preserve">CVR-nr. </w:t>
      </w:r>
      <w:r w:rsidR="000D0984" w:rsidRPr="000D0984">
        <w:t>42512273</w:t>
      </w:r>
      <w:r w:rsidR="00BE4C01" w:rsidRPr="00BE4C01">
        <w:t xml:space="preserve">, </w:t>
      </w:r>
      <w:r w:rsidR="000D0984">
        <w:t>Strandvejen 60</w:t>
      </w:r>
      <w:r w:rsidR="00BE4C01" w:rsidRPr="00BE4C01">
        <w:t>, DK-2900 Hellerup</w:t>
      </w:r>
    </w:p>
    <w:p w14:paraId="6AACDA41" w14:textId="77777777" w:rsidR="00BE4C01" w:rsidRDefault="00BE4C01"/>
    <w:sectPr w:rsidR="00BE4C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35C"/>
    <w:multiLevelType w:val="multilevel"/>
    <w:tmpl w:val="DCAC5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63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01"/>
    <w:rsid w:val="000A03EB"/>
    <w:rsid w:val="000C4499"/>
    <w:rsid w:val="000D0984"/>
    <w:rsid w:val="000F100C"/>
    <w:rsid w:val="001163B2"/>
    <w:rsid w:val="00136D9B"/>
    <w:rsid w:val="00155642"/>
    <w:rsid w:val="001928E1"/>
    <w:rsid w:val="001B06EA"/>
    <w:rsid w:val="001C340D"/>
    <w:rsid w:val="001D2801"/>
    <w:rsid w:val="00265438"/>
    <w:rsid w:val="002A4EAF"/>
    <w:rsid w:val="002B6B87"/>
    <w:rsid w:val="002E1AE0"/>
    <w:rsid w:val="00344CB3"/>
    <w:rsid w:val="003B7D51"/>
    <w:rsid w:val="004044A5"/>
    <w:rsid w:val="00427ED3"/>
    <w:rsid w:val="0045749D"/>
    <w:rsid w:val="004D740B"/>
    <w:rsid w:val="00533C93"/>
    <w:rsid w:val="005945AC"/>
    <w:rsid w:val="005A0E50"/>
    <w:rsid w:val="005A23E9"/>
    <w:rsid w:val="005C2158"/>
    <w:rsid w:val="006956B9"/>
    <w:rsid w:val="006C0074"/>
    <w:rsid w:val="006C57C3"/>
    <w:rsid w:val="0076136D"/>
    <w:rsid w:val="008901B6"/>
    <w:rsid w:val="008A1683"/>
    <w:rsid w:val="009911B9"/>
    <w:rsid w:val="009D7B72"/>
    <w:rsid w:val="00A00438"/>
    <w:rsid w:val="00A17B1D"/>
    <w:rsid w:val="00A356F8"/>
    <w:rsid w:val="00A831C8"/>
    <w:rsid w:val="00A84142"/>
    <w:rsid w:val="00A91502"/>
    <w:rsid w:val="00A97075"/>
    <w:rsid w:val="00AA5AB0"/>
    <w:rsid w:val="00AE4A57"/>
    <w:rsid w:val="00B023B4"/>
    <w:rsid w:val="00B02E43"/>
    <w:rsid w:val="00BA5D03"/>
    <w:rsid w:val="00BB7E7A"/>
    <w:rsid w:val="00BC1F31"/>
    <w:rsid w:val="00BE4C01"/>
    <w:rsid w:val="00C21A39"/>
    <w:rsid w:val="00DD48DD"/>
    <w:rsid w:val="00E64F9F"/>
    <w:rsid w:val="00F10BC1"/>
    <w:rsid w:val="00F37074"/>
    <w:rsid w:val="00F554A8"/>
    <w:rsid w:val="00F73C56"/>
    <w:rsid w:val="00F811EB"/>
    <w:rsid w:val="03C2FE33"/>
    <w:rsid w:val="165C52FE"/>
    <w:rsid w:val="4B33219A"/>
    <w:rsid w:val="5237F94E"/>
    <w:rsid w:val="54D559DB"/>
    <w:rsid w:val="6BE8F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8BD4"/>
  <w15:chartTrackingRefBased/>
  <w15:docId w15:val="{5B722B26-DC46-4DCD-8CA4-7CD3527A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01"/>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4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E4C01"/>
    <w:pPr>
      <w:ind w:left="720"/>
      <w:contextualSpacing/>
    </w:pPr>
  </w:style>
  <w:style w:type="character" w:styleId="Hyperlink">
    <w:name w:val="Hyperlink"/>
    <w:basedOn w:val="Standardskrifttypeiafsnit"/>
    <w:uiPriority w:val="99"/>
    <w:unhideWhenUsed/>
    <w:rsid w:val="00BE4C01"/>
    <w:rPr>
      <w:color w:val="0563C1" w:themeColor="hyperlink"/>
      <w:u w:val="single"/>
    </w:rPr>
  </w:style>
  <w:style w:type="character" w:styleId="Ulstomtale">
    <w:name w:val="Unresolved Mention"/>
    <w:basedOn w:val="Standardskrifttypeiafsnit"/>
    <w:uiPriority w:val="99"/>
    <w:semiHidden/>
    <w:unhideWhenUsed/>
    <w:rsid w:val="00BE4C01"/>
    <w:rPr>
      <w:color w:val="605E5C"/>
      <w:shd w:val="clear" w:color="auto" w:fill="E1DFDD"/>
    </w:rPr>
  </w:style>
  <w:style w:type="character" w:styleId="BesgtLink">
    <w:name w:val="FollowedHyperlink"/>
    <w:basedOn w:val="Standardskrifttypeiafsnit"/>
    <w:uiPriority w:val="99"/>
    <w:semiHidden/>
    <w:unhideWhenUsed/>
    <w:rsid w:val="001C3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quitylaw.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esma.europa.eu/press-news/esma-news/esma-clarifies-expectations-run-launch-eus-consolidated-tapes" TargetMode="External"/><Relationship Id="rId4" Type="http://schemas.openxmlformats.org/officeDocument/2006/relationships/customXml" Target="../customXml/item4.xml"/><Relationship Id="rId9" Type="http://schemas.openxmlformats.org/officeDocument/2006/relationships/hyperlink" Target="https://www.finanstilsynet.dk/tilsyn/inspektion-og-afgoerelser/2026/apr/paatale-for-overtraedelse-af-reglerne-om-investeringsanbefalinger-i-markedsmisbrugsforordninge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7d2aa7-4697-4679-89a8-f7ed825373f6" xsi:nil="true"/>
    <lcf76f155ced4ddcb4097134ff3c332f xmlns="e1ad0fee-deb7-4d11-8342-64349c8749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167DF4E06F5744B57C6F8BE5F564CB" ma:contentTypeVersion="20" ma:contentTypeDescription="Opret et nyt dokument." ma:contentTypeScope="" ma:versionID="4c9fdd3f57380a66db669e25b35dd481">
  <xsd:schema xmlns:xsd="http://www.w3.org/2001/XMLSchema" xmlns:xs="http://www.w3.org/2001/XMLSchema" xmlns:p="http://schemas.microsoft.com/office/2006/metadata/properties" xmlns:ns2="e1ad0fee-deb7-4d11-8342-64349c8749bc" xmlns:ns3="547d2aa7-4697-4679-89a8-f7ed825373f6" targetNamespace="http://schemas.microsoft.com/office/2006/metadata/properties" ma:root="true" ma:fieldsID="0701e95dae96647187809806b243026f" ns2:_="" ns3:_="">
    <xsd:import namespace="e1ad0fee-deb7-4d11-8342-64349c8749bc"/>
    <xsd:import namespace="547d2aa7-4697-4679-89a8-f7ed82537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0fee-deb7-4d11-8342-64349c874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d399327e-dec2-4cfd-b9e4-ed826a3a2e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d2aa7-4697-4679-89a8-f7ed825373f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8547f4b9-575f-4bb9-9f4d-53a5a71db9dd}" ma:internalName="TaxCatchAll" ma:showField="CatchAllData" ma:web="547d2aa7-4697-4679-89a8-f7ed82537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F082-B58A-4F52-A56E-EC4AEF91AEFB}">
  <ds:schemaRefs>
    <ds:schemaRef ds:uri="http://schemas.microsoft.com/office/2006/metadata/properties"/>
    <ds:schemaRef ds:uri="http://schemas.microsoft.com/office/infopath/2007/PartnerControls"/>
    <ds:schemaRef ds:uri="547d2aa7-4697-4679-89a8-f7ed825373f6"/>
    <ds:schemaRef ds:uri="e1ad0fee-deb7-4d11-8342-64349c8749bc"/>
  </ds:schemaRefs>
</ds:datastoreItem>
</file>

<file path=customXml/itemProps2.xml><?xml version="1.0" encoding="utf-8"?>
<ds:datastoreItem xmlns:ds="http://schemas.openxmlformats.org/officeDocument/2006/customXml" ds:itemID="{DF44AD3D-F638-4681-B165-D4FC1736A764}">
  <ds:schemaRefs>
    <ds:schemaRef ds:uri="http://schemas.microsoft.com/sharepoint/v3/contenttype/forms"/>
  </ds:schemaRefs>
</ds:datastoreItem>
</file>

<file path=customXml/itemProps3.xml><?xml version="1.0" encoding="utf-8"?>
<ds:datastoreItem xmlns:ds="http://schemas.openxmlformats.org/officeDocument/2006/customXml" ds:itemID="{B1DFC98C-0845-4A94-8D81-1ABEEB67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0fee-deb7-4d11-8342-64349c8749bc"/>
    <ds:schemaRef ds:uri="547d2aa7-4697-4679-89a8-f7ed82537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55F10-0BA4-4244-9D96-DFCA4B52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539</Words>
  <Characters>3288</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Søborg</dc:creator>
  <cp:keywords/>
  <dc:description/>
  <cp:lastModifiedBy>Camilla Søborg</cp:lastModifiedBy>
  <cp:revision>22</cp:revision>
  <dcterms:created xsi:type="dcterms:W3CDTF">2026-03-27T10:57:00Z</dcterms:created>
  <dcterms:modified xsi:type="dcterms:W3CDTF">2026-05-04T11:42:00Z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0x0101003E167DF4E06F5744B57C6F8BE5F564CB</vt:lpwstr>
  </property>
  <property fmtid="{D5CDD505-2E9C-101B-9397-08002B2CF9AE}" pid="3" name="MediaServiceImageTags">
    <vt:lpwstr/>
  </property>
</Properties>
</file>