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0835" w14:textId="77777777" w:rsidR="00BE4C01" w:rsidRPr="008A1C76" w:rsidRDefault="00BE4C01" w:rsidP="00BE4C01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8A1C76">
        <w:rPr>
          <w:sz w:val="28"/>
          <w:szCs w:val="28"/>
        </w:rPr>
        <w:t>y finansiel regulering</w:t>
      </w:r>
      <w:r>
        <w:rPr>
          <w:sz w:val="28"/>
          <w:szCs w:val="28"/>
        </w:rPr>
        <w:t xml:space="preserve"> for fondsmæglerselskaber</w:t>
      </w:r>
      <w:r w:rsidRPr="008A1C76">
        <w:rPr>
          <w:sz w:val="28"/>
          <w:szCs w:val="28"/>
        </w:rPr>
        <w:t xml:space="preserve"> </w:t>
      </w:r>
    </w:p>
    <w:p w14:paraId="300EB7E4" w14:textId="51FA09FA" w:rsidR="00BE4C01" w:rsidRDefault="00BE4C01" w:rsidP="00BE4C01">
      <w:pPr>
        <w:jc w:val="both"/>
      </w:pPr>
      <w:r>
        <w:t>O</w:t>
      </w:r>
      <w:r w:rsidRPr="005A5267">
        <w:t xml:space="preserve">pdatering for </w:t>
      </w:r>
      <w:r w:rsidR="00BB34B2">
        <w:t>maj</w:t>
      </w:r>
      <w:r w:rsidRPr="005A5267">
        <w:t xml:space="preserve"> </w:t>
      </w:r>
      <w:r>
        <w:t xml:space="preserve">måned </w:t>
      </w:r>
      <w:r w:rsidRPr="005A5267">
        <w:t>202</w:t>
      </w:r>
      <w:r w:rsidR="001B06EA">
        <w:t>6</w:t>
      </w:r>
    </w:p>
    <w:p w14:paraId="65DC610D" w14:textId="77777777" w:rsidR="00F20915" w:rsidRDefault="00F20915" w:rsidP="00BE4C01">
      <w:pPr>
        <w:jc w:val="both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4C01" w14:paraId="00166C89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6AB36AD5" w14:textId="79E26B0B" w:rsidR="00BE4C01" w:rsidRPr="005945AC" w:rsidRDefault="005945AC">
            <w:pPr>
              <w:rPr>
                <w:b/>
                <w:bCs/>
              </w:rPr>
            </w:pPr>
            <w:r w:rsidRPr="005945AC">
              <w:rPr>
                <w:b/>
                <w:bCs/>
              </w:rPr>
              <w:t>OVERBLIK</w:t>
            </w:r>
          </w:p>
        </w:tc>
      </w:tr>
      <w:tr w:rsidR="00BE4C01" w14:paraId="19A8CD66" w14:textId="77777777" w:rsidTr="00BE4C01">
        <w:tc>
          <w:tcPr>
            <w:tcW w:w="9628" w:type="dxa"/>
          </w:tcPr>
          <w:p w14:paraId="61712220" w14:textId="77777777" w:rsidR="00BE4C01" w:rsidRDefault="00BE4C01"/>
          <w:p w14:paraId="2C8EB3E8" w14:textId="70D4BC78" w:rsidR="00AC0301" w:rsidRDefault="00AC0301">
            <w:r>
              <w:t xml:space="preserve">En ny bekendtgørelse af lov </w:t>
            </w:r>
            <w:r w:rsidRPr="00AC0301">
              <w:t>om fondsmæglerselskaber og investeringsservice og -aktiviteter</w:t>
            </w:r>
            <w:r>
              <w:t xml:space="preserve"> er offentliggjort</w:t>
            </w:r>
            <w:r w:rsidR="00553098">
              <w:t>:</w:t>
            </w:r>
            <w:r w:rsidR="000E7B3B">
              <w:t xml:space="preserve"> </w:t>
            </w:r>
            <w:hyperlink w:anchor="A" w:history="1">
              <w:r w:rsidR="00601C39" w:rsidRPr="00601C39">
                <w:rPr>
                  <w:rStyle w:val="Hyperlink"/>
                </w:rPr>
                <w:t>link</w:t>
              </w:r>
            </w:hyperlink>
          </w:p>
          <w:p w14:paraId="6DDB80C3" w14:textId="77777777" w:rsidR="00AC0301" w:rsidRDefault="00AC0301"/>
          <w:p w14:paraId="4724F566" w14:textId="3579A93E" w:rsidR="000137C6" w:rsidRDefault="00521F9E">
            <w:r>
              <w:t xml:space="preserve">En ny ledelsesbekendtgørelse er udstedt: </w:t>
            </w:r>
            <w:hyperlink w:anchor="B" w:history="1">
              <w:r w:rsidR="00601C39" w:rsidRPr="00601C39">
                <w:rPr>
                  <w:rStyle w:val="Hyperlink"/>
                </w:rPr>
                <w:t>link</w:t>
              </w:r>
            </w:hyperlink>
          </w:p>
          <w:p w14:paraId="57F414D4" w14:textId="77777777" w:rsidR="000137C6" w:rsidRDefault="000137C6"/>
          <w:p w14:paraId="759CE245" w14:textId="207DEF04" w:rsidR="006E5A40" w:rsidRDefault="002D1A3A">
            <w:r>
              <w:t xml:space="preserve">Vejledning om regnskabsindberetning bortfalder: </w:t>
            </w:r>
            <w:hyperlink w:anchor="C" w:history="1">
              <w:r w:rsidR="00601C39" w:rsidRPr="00601C39">
                <w:rPr>
                  <w:rStyle w:val="Hyperlink"/>
                </w:rPr>
                <w:t>link</w:t>
              </w:r>
            </w:hyperlink>
          </w:p>
          <w:p w14:paraId="7695FF5E" w14:textId="77777777" w:rsidR="002D1A3A" w:rsidRDefault="002D1A3A"/>
          <w:p w14:paraId="133AA3A6" w14:textId="11138EF7" w:rsidR="002D1A3A" w:rsidRDefault="002D1A3A">
            <w:r>
              <w:t xml:space="preserve">Finanstilsynet offentliggør seneste praksis </w:t>
            </w:r>
            <w:r w:rsidR="001D17EB">
              <w:t xml:space="preserve">vedrørende egnethedsvurderinger af ledelsesmedlemmer: </w:t>
            </w:r>
            <w:hyperlink w:anchor="D" w:history="1">
              <w:r w:rsidR="0035362D" w:rsidRPr="0035362D">
                <w:rPr>
                  <w:rStyle w:val="Hyperlink"/>
                </w:rPr>
                <w:t>link</w:t>
              </w:r>
            </w:hyperlink>
          </w:p>
          <w:p w14:paraId="10F626A8" w14:textId="18F71367" w:rsidR="001D17EB" w:rsidRDefault="001D17EB"/>
          <w:p w14:paraId="04C8D445" w14:textId="428D2786" w:rsidR="00B7368B" w:rsidRDefault="00772ABB">
            <w:r>
              <w:t xml:space="preserve">Udtalelse fra ESMA kan moderere tilsynet med MiFID II’s bæredygtighedskrav i </w:t>
            </w:r>
            <w:r w:rsidR="00B7368B">
              <w:t>transitionsperiode:</w:t>
            </w:r>
            <w:r w:rsidR="00BB16A5">
              <w:t xml:space="preserve"> </w:t>
            </w:r>
            <w:hyperlink w:anchor="E" w:history="1">
              <w:r w:rsidR="0035362D" w:rsidRPr="0035362D">
                <w:rPr>
                  <w:rStyle w:val="Hyperlink"/>
                </w:rPr>
                <w:t>link</w:t>
              </w:r>
            </w:hyperlink>
          </w:p>
          <w:p w14:paraId="299D7750" w14:textId="6D3AD34B" w:rsidR="001D17EB" w:rsidRDefault="008E4A8E">
            <w:r>
              <w:t xml:space="preserve"> </w:t>
            </w:r>
          </w:p>
          <w:p w14:paraId="774E809C" w14:textId="77777777" w:rsidR="006E5A40" w:rsidRDefault="006E5A40"/>
        </w:tc>
      </w:tr>
      <w:tr w:rsidR="00BE4C01" w14:paraId="531CF982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7BDC7261" w14:textId="6D8F2E20" w:rsidR="00BE4C01" w:rsidRPr="005945AC" w:rsidRDefault="00BE4C01" w:rsidP="00BE4C01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DANSK REGULERING</w:t>
            </w:r>
          </w:p>
        </w:tc>
      </w:tr>
      <w:tr w:rsidR="00BE4C01" w14:paraId="31E09EBE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199CDD40" w14:textId="62239D98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 xml:space="preserve"> Love</w:t>
            </w:r>
          </w:p>
        </w:tc>
      </w:tr>
      <w:tr w:rsidR="00BE4C01" w14:paraId="786DA9D6" w14:textId="77777777" w:rsidTr="00BE4C01">
        <w:tc>
          <w:tcPr>
            <w:tcW w:w="9628" w:type="dxa"/>
          </w:tcPr>
          <w:p w14:paraId="520C4E86" w14:textId="77777777" w:rsidR="00BE4C01" w:rsidRDefault="00BE4C01"/>
          <w:p w14:paraId="7DE64DBE" w14:textId="77777777" w:rsidR="00396DD9" w:rsidRPr="005D263A" w:rsidRDefault="00396DD9" w:rsidP="00396DD9">
            <w:pPr>
              <w:jc w:val="both"/>
              <w:rPr>
                <w:b/>
                <w:bCs/>
              </w:rPr>
            </w:pPr>
            <w:bookmarkStart w:id="0" w:name="A"/>
            <w:r w:rsidRPr="005D263A">
              <w:rPr>
                <w:b/>
                <w:bCs/>
              </w:rPr>
              <w:t>Bekendtgørelse</w:t>
            </w:r>
            <w:r>
              <w:rPr>
                <w:b/>
                <w:bCs/>
              </w:rPr>
              <w:t xml:space="preserve"> </w:t>
            </w:r>
            <w:r w:rsidRPr="00F443B3">
              <w:rPr>
                <w:b/>
                <w:bCs/>
              </w:rPr>
              <w:t>nr</w:t>
            </w:r>
            <w:r>
              <w:rPr>
                <w:b/>
                <w:bCs/>
              </w:rPr>
              <w:t>.</w:t>
            </w:r>
            <w:r w:rsidRPr="00F443B3">
              <w:rPr>
                <w:b/>
                <w:bCs/>
              </w:rPr>
              <w:t xml:space="preserve"> 467 af 26</w:t>
            </w:r>
            <w:r>
              <w:rPr>
                <w:b/>
                <w:bCs/>
              </w:rPr>
              <w:t xml:space="preserve">. april </w:t>
            </w:r>
            <w:r w:rsidRPr="00F443B3">
              <w:rPr>
                <w:b/>
                <w:bCs/>
              </w:rPr>
              <w:t>2026</w:t>
            </w:r>
            <w:r w:rsidRPr="005D263A">
              <w:rPr>
                <w:b/>
                <w:bCs/>
              </w:rPr>
              <w:t xml:space="preserve"> af lov om fondsmæglerselskaber og investeringsservice og -aktiviteter</w:t>
            </w:r>
          </w:p>
          <w:bookmarkEnd w:id="0"/>
          <w:p w14:paraId="4D3A97CB" w14:textId="77777777" w:rsidR="00396DD9" w:rsidRDefault="00396DD9" w:rsidP="00396DD9">
            <w:pPr>
              <w:jc w:val="both"/>
            </w:pPr>
          </w:p>
          <w:p w14:paraId="07416052" w14:textId="4EC741F8" w:rsidR="00396DD9" w:rsidRDefault="00396DD9" w:rsidP="00396DD9">
            <w:pPr>
              <w:jc w:val="both"/>
            </w:pPr>
            <w:r>
              <w:t>En ny lovbekendtgørelse er offentliggjort.</w:t>
            </w:r>
          </w:p>
          <w:p w14:paraId="796951BB" w14:textId="77777777" w:rsidR="009E2192" w:rsidRDefault="009E2192" w:rsidP="00396DD9">
            <w:pPr>
              <w:jc w:val="both"/>
            </w:pPr>
          </w:p>
          <w:p w14:paraId="7218EBA6" w14:textId="373B4F98" w:rsidR="00396DD9" w:rsidRDefault="00396DD9" w:rsidP="00396DD9">
            <w:pPr>
              <w:jc w:val="both"/>
            </w:pPr>
            <w:r>
              <w:t xml:space="preserve">(Offentliggjort den 21. maj 2026, </w:t>
            </w:r>
            <w:hyperlink r:id="rId9" w:history="1">
              <w:r w:rsidRPr="004036DA">
                <w:rPr>
                  <w:rStyle w:val="Hyperlink"/>
                </w:rPr>
                <w:t>link</w:t>
              </w:r>
            </w:hyperlink>
            <w:r>
              <w:t>)</w:t>
            </w:r>
          </w:p>
          <w:p w14:paraId="0EC6DBAE" w14:textId="77777777" w:rsidR="00396DD9" w:rsidRDefault="00396DD9"/>
          <w:p w14:paraId="1136A53C" w14:textId="77777777" w:rsidR="00396DD9" w:rsidRDefault="00396DD9"/>
        </w:tc>
      </w:tr>
      <w:tr w:rsidR="00BE4C01" w14:paraId="46B86ADE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22197C0B" w14:textId="3757CD86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Bekendtgørelse</w:t>
            </w:r>
            <w:r w:rsidR="00136D9B">
              <w:rPr>
                <w:b/>
                <w:bCs/>
              </w:rPr>
              <w:t>r</w:t>
            </w:r>
            <w:r w:rsidRPr="005945AC">
              <w:rPr>
                <w:b/>
                <w:bCs/>
              </w:rPr>
              <w:t xml:space="preserve"> m.v.</w:t>
            </w:r>
          </w:p>
        </w:tc>
      </w:tr>
      <w:tr w:rsidR="00BE4C01" w14:paraId="159B5602" w14:textId="77777777" w:rsidTr="00BE4C01">
        <w:tc>
          <w:tcPr>
            <w:tcW w:w="9628" w:type="dxa"/>
          </w:tcPr>
          <w:p w14:paraId="2AC34144" w14:textId="77777777" w:rsidR="00BE4C01" w:rsidRDefault="00BE4C01"/>
          <w:p w14:paraId="7AE11CB2" w14:textId="77777777" w:rsidR="00E21089" w:rsidRPr="006C3F40" w:rsidRDefault="00E21089" w:rsidP="00E21089">
            <w:pPr>
              <w:jc w:val="both"/>
              <w:rPr>
                <w:b/>
                <w:bCs/>
              </w:rPr>
            </w:pPr>
            <w:bookmarkStart w:id="1" w:name="B"/>
            <w:r w:rsidRPr="006C3F40">
              <w:rPr>
                <w:b/>
                <w:bCs/>
              </w:rPr>
              <w:t xml:space="preserve">Bekendtgørelse </w:t>
            </w:r>
            <w:r w:rsidRPr="00580DB0">
              <w:rPr>
                <w:b/>
                <w:bCs/>
              </w:rPr>
              <w:t>nr</w:t>
            </w:r>
            <w:r>
              <w:rPr>
                <w:b/>
                <w:bCs/>
              </w:rPr>
              <w:t>.</w:t>
            </w:r>
            <w:r w:rsidRPr="00580DB0">
              <w:rPr>
                <w:b/>
                <w:bCs/>
              </w:rPr>
              <w:t xml:space="preserve"> 475 af 20</w:t>
            </w:r>
            <w:r>
              <w:rPr>
                <w:b/>
                <w:bCs/>
              </w:rPr>
              <w:t xml:space="preserve">. maj </w:t>
            </w:r>
            <w:r w:rsidRPr="00580DB0">
              <w:rPr>
                <w:b/>
                <w:bCs/>
              </w:rPr>
              <w:t>2026</w:t>
            </w:r>
            <w:r>
              <w:rPr>
                <w:b/>
                <w:bCs/>
              </w:rPr>
              <w:t xml:space="preserve"> </w:t>
            </w:r>
            <w:r w:rsidRPr="006C3F40">
              <w:rPr>
                <w:b/>
                <w:bCs/>
              </w:rPr>
              <w:t>om ledelse og styring af fondsmæglerselskaber m.fl.</w:t>
            </w:r>
          </w:p>
          <w:bookmarkEnd w:id="1"/>
          <w:p w14:paraId="4595EBD9" w14:textId="77777777" w:rsidR="00E21089" w:rsidRDefault="00E21089" w:rsidP="00E21089">
            <w:pPr>
              <w:jc w:val="both"/>
            </w:pPr>
          </w:p>
          <w:p w14:paraId="2916C503" w14:textId="52635EE6" w:rsidR="00E21089" w:rsidRDefault="00E21089" w:rsidP="00E21089">
            <w:pPr>
              <w:jc w:val="both"/>
            </w:pPr>
            <w:r>
              <w:t xml:space="preserve">Bekendtgørelsen erstatter den tilsvarende bekendtgørelse nr. 1610 af 10. december 2024. Ved </w:t>
            </w:r>
            <w:r w:rsidR="005B6864">
              <w:t xml:space="preserve">nyaffattelsen </w:t>
            </w:r>
            <w:r>
              <w:t>fjernes regulering</w:t>
            </w:r>
            <w:r w:rsidR="00C13D7B">
              <w:t>en</w:t>
            </w:r>
            <w:r>
              <w:t xml:space="preserve"> af fondsmæglerholdingvirksomheder</w:t>
            </w:r>
            <w:r w:rsidR="00C13D7B">
              <w:t xml:space="preserve">, som herefter ikke har </w:t>
            </w:r>
            <w:r w:rsidR="00B73D45">
              <w:t xml:space="preserve">selvstændige forpligtelser </w:t>
            </w:r>
            <w:r w:rsidR="005B6864">
              <w:t>efter bekendtgørelsen</w:t>
            </w:r>
            <w:r>
              <w:t>. Endvidere indsættes koncentrationsrisici som en del af listen over risici, som fondsmæglerselskabernes politikker skal tage stilling til, og kravet til politikken for koncentrationsrisiko uddybes.</w:t>
            </w:r>
          </w:p>
          <w:p w14:paraId="3DED7766" w14:textId="77777777" w:rsidR="00DC2187" w:rsidRDefault="00DC2187" w:rsidP="00E21089">
            <w:pPr>
              <w:jc w:val="both"/>
            </w:pPr>
          </w:p>
          <w:p w14:paraId="6990D0BD" w14:textId="77777777" w:rsidR="00E21089" w:rsidRDefault="00E21089" w:rsidP="00E21089">
            <w:pPr>
              <w:jc w:val="both"/>
            </w:pPr>
            <w:r>
              <w:t xml:space="preserve">Bekendtgørelsen træder i kraft den 25. juni 2026. </w:t>
            </w:r>
          </w:p>
          <w:p w14:paraId="65CA786F" w14:textId="77777777" w:rsidR="00E21089" w:rsidRDefault="00E21089" w:rsidP="00E21089">
            <w:pPr>
              <w:jc w:val="both"/>
            </w:pPr>
          </w:p>
          <w:p w14:paraId="73A4DBE4" w14:textId="4189FD62" w:rsidR="00E21089" w:rsidRDefault="00E21089" w:rsidP="00E21089">
            <w:pPr>
              <w:jc w:val="both"/>
            </w:pPr>
            <w:r>
              <w:t xml:space="preserve">(Offentliggjort den 27. maj 2026, </w:t>
            </w:r>
            <w:hyperlink r:id="rId10" w:history="1">
              <w:r w:rsidRPr="001E3BE6">
                <w:rPr>
                  <w:rStyle w:val="Hyperlink"/>
                </w:rPr>
                <w:t>link</w:t>
              </w:r>
            </w:hyperlink>
            <w:r>
              <w:t>)</w:t>
            </w:r>
          </w:p>
          <w:p w14:paraId="1694B5FD" w14:textId="77777777" w:rsidR="00E21089" w:rsidRDefault="00E21089" w:rsidP="00E21089">
            <w:pPr>
              <w:jc w:val="both"/>
            </w:pPr>
          </w:p>
          <w:p w14:paraId="1DA916EC" w14:textId="77777777" w:rsidR="00E21089" w:rsidRDefault="00E21089" w:rsidP="00736BB7">
            <w:pPr>
              <w:jc w:val="both"/>
              <w:rPr>
                <w:b/>
                <w:bCs/>
              </w:rPr>
            </w:pPr>
          </w:p>
          <w:p w14:paraId="7D1819D0" w14:textId="3D2DB5ED" w:rsidR="00736BB7" w:rsidRPr="00FD10C3" w:rsidRDefault="00736BB7" w:rsidP="00736BB7">
            <w:pPr>
              <w:jc w:val="both"/>
              <w:rPr>
                <w:b/>
                <w:bCs/>
              </w:rPr>
            </w:pPr>
            <w:bookmarkStart w:id="2" w:name="C"/>
            <w:r w:rsidRPr="00FD10C3">
              <w:rPr>
                <w:b/>
                <w:bCs/>
              </w:rPr>
              <w:t xml:space="preserve">Skrivelse </w:t>
            </w:r>
            <w:r w:rsidRPr="00CC1946">
              <w:rPr>
                <w:b/>
                <w:bCs/>
              </w:rPr>
              <w:t>nr</w:t>
            </w:r>
            <w:r>
              <w:rPr>
                <w:b/>
                <w:bCs/>
              </w:rPr>
              <w:t>.</w:t>
            </w:r>
            <w:r w:rsidRPr="00CC1946">
              <w:rPr>
                <w:b/>
                <w:bCs/>
              </w:rPr>
              <w:t xml:space="preserve"> 9500 af 12</w:t>
            </w:r>
            <w:r>
              <w:rPr>
                <w:b/>
                <w:bCs/>
              </w:rPr>
              <w:t xml:space="preserve">. maj </w:t>
            </w:r>
            <w:r w:rsidRPr="00CC1946">
              <w:rPr>
                <w:b/>
                <w:bCs/>
              </w:rPr>
              <w:t>2026</w:t>
            </w:r>
            <w:r>
              <w:rPr>
                <w:b/>
                <w:bCs/>
              </w:rPr>
              <w:t xml:space="preserve"> </w:t>
            </w:r>
            <w:r w:rsidRPr="00FD10C3">
              <w:rPr>
                <w:b/>
                <w:bCs/>
              </w:rPr>
              <w:t>om bortfald af vejledning på Erhvervsministeriets område</w:t>
            </w:r>
          </w:p>
          <w:bookmarkEnd w:id="2"/>
          <w:p w14:paraId="6DB2DA27" w14:textId="77777777" w:rsidR="00B7368B" w:rsidRDefault="00B7368B" w:rsidP="00736BB7">
            <w:pPr>
              <w:jc w:val="both"/>
            </w:pPr>
          </w:p>
          <w:p w14:paraId="20A32977" w14:textId="64F387EF" w:rsidR="00736BB7" w:rsidRDefault="00736BB7" w:rsidP="00736BB7">
            <w:pPr>
              <w:jc w:val="both"/>
            </w:pPr>
            <w:r>
              <w:t>Skrivelsen fastsætter, at v</w:t>
            </w:r>
            <w:r w:rsidRPr="00FD3ECF">
              <w:t xml:space="preserve">ejledning nr. 9677 af 29. juni 2016 </w:t>
            </w:r>
            <w:r>
              <w:t>om</w:t>
            </w:r>
            <w:r w:rsidRPr="00FD3ECF">
              <w:t xml:space="preserve"> regnskabsindberetning for kreditinstitutter og fondsmæglerselskaber m.fl.</w:t>
            </w:r>
            <w:r>
              <w:t xml:space="preserve"> bortfalder.</w:t>
            </w:r>
          </w:p>
          <w:p w14:paraId="0B0D222F" w14:textId="77777777" w:rsidR="00B7368B" w:rsidRDefault="00B7368B" w:rsidP="00736BB7">
            <w:pPr>
              <w:jc w:val="both"/>
            </w:pPr>
          </w:p>
          <w:p w14:paraId="2E7A7919" w14:textId="0167ED74" w:rsidR="00736BB7" w:rsidRDefault="00736BB7" w:rsidP="00736BB7">
            <w:pPr>
              <w:jc w:val="both"/>
            </w:pPr>
            <w:r>
              <w:t xml:space="preserve">(Offentliggjort den 13. maj 2026, </w:t>
            </w:r>
            <w:hyperlink r:id="rId11" w:history="1">
              <w:r w:rsidRPr="000A0C66">
                <w:rPr>
                  <w:rStyle w:val="Hyperlink"/>
                </w:rPr>
                <w:t>link</w:t>
              </w:r>
            </w:hyperlink>
            <w:r>
              <w:t>)</w:t>
            </w:r>
          </w:p>
          <w:p w14:paraId="785020D9" w14:textId="77777777" w:rsidR="00736BB7" w:rsidRDefault="00736BB7"/>
          <w:p w14:paraId="22D0066C" w14:textId="77777777" w:rsidR="00DE0323" w:rsidRDefault="00DE0323"/>
          <w:p w14:paraId="3850E19B" w14:textId="77777777" w:rsidR="008901EB" w:rsidRPr="00631247" w:rsidRDefault="008901EB" w:rsidP="008901EB">
            <w:pPr>
              <w:jc w:val="both"/>
              <w:rPr>
                <w:b/>
                <w:bCs/>
              </w:rPr>
            </w:pPr>
            <w:bookmarkStart w:id="3" w:name="D"/>
            <w:r w:rsidRPr="00631247">
              <w:rPr>
                <w:b/>
                <w:bCs/>
              </w:rPr>
              <w:t>Finanstilsynet offentliggør redegørelse om egnethedsvurderinger i finanssektoren</w:t>
            </w:r>
          </w:p>
          <w:bookmarkEnd w:id="3"/>
          <w:p w14:paraId="1FB1E906" w14:textId="77777777" w:rsidR="00B7368B" w:rsidRDefault="00B7368B" w:rsidP="008901EB">
            <w:pPr>
              <w:jc w:val="both"/>
            </w:pPr>
          </w:p>
          <w:p w14:paraId="11EBC46A" w14:textId="3C9E4B0C" w:rsidR="008901EB" w:rsidRPr="00631247" w:rsidRDefault="008901EB" w:rsidP="008901EB">
            <w:pPr>
              <w:jc w:val="both"/>
            </w:pPr>
            <w:r w:rsidRPr="00631247">
              <w:t xml:space="preserve">Finanstilsynet har offentliggjort sin årlige redegørelse 2026 om praksis i forbindelse med egnethedsvurdering af ledelsesmedlemmer og nøglepersoner i finansielle virksomheder. Redegørelsen fokuserer på at beskrive principper, praksis og konkrete eksempler. </w:t>
            </w:r>
          </w:p>
          <w:p w14:paraId="06CC4158" w14:textId="77777777" w:rsidR="00B7368B" w:rsidRDefault="00B7368B" w:rsidP="008901EB">
            <w:pPr>
              <w:jc w:val="both"/>
            </w:pPr>
          </w:p>
          <w:p w14:paraId="1CDAC677" w14:textId="0745409B" w:rsidR="008901EB" w:rsidRDefault="008901EB" w:rsidP="008901EB">
            <w:pPr>
              <w:jc w:val="both"/>
            </w:pPr>
            <w:r>
              <w:t xml:space="preserve">(Offentliggjort den 13. maj 2026, </w:t>
            </w:r>
            <w:hyperlink r:id="rId12" w:history="1">
              <w:r w:rsidRPr="00335C26">
                <w:rPr>
                  <w:rStyle w:val="Hyperlink"/>
                </w:rPr>
                <w:t>link</w:t>
              </w:r>
            </w:hyperlink>
            <w:r>
              <w:t>)</w:t>
            </w:r>
          </w:p>
          <w:p w14:paraId="3B1539A2" w14:textId="77777777" w:rsidR="008901EB" w:rsidRDefault="008901EB"/>
          <w:p w14:paraId="2BE89B52" w14:textId="77777777" w:rsidR="008901EB" w:rsidRDefault="008901EB"/>
        </w:tc>
      </w:tr>
      <w:tr w:rsidR="00BE4C01" w14:paraId="2E8F680D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33F4D91" w14:textId="215F6731" w:rsidR="00BE4C01" w:rsidRPr="005945AC" w:rsidRDefault="00BE4C01" w:rsidP="00BE4C01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lastRenderedPageBreak/>
              <w:t>EU-REGULERING (forordninger)</w:t>
            </w:r>
          </w:p>
        </w:tc>
      </w:tr>
      <w:tr w:rsidR="00BE4C01" w14:paraId="6AF8D239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C426A68" w14:textId="017C4220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Niveau 1</w:t>
            </w:r>
          </w:p>
        </w:tc>
      </w:tr>
      <w:tr w:rsidR="00BE4C01" w14:paraId="1DF6C69F" w14:textId="77777777" w:rsidTr="00BE4C01">
        <w:tc>
          <w:tcPr>
            <w:tcW w:w="9628" w:type="dxa"/>
          </w:tcPr>
          <w:p w14:paraId="1823E6B4" w14:textId="77777777" w:rsidR="00BE4C01" w:rsidRDefault="00BE4C01"/>
          <w:p w14:paraId="6DBDCA0E" w14:textId="2193174E" w:rsidR="006C4512" w:rsidRDefault="006C4512">
            <w:r>
              <w:t>Intet nyt</w:t>
            </w:r>
            <w:r w:rsidR="00DE0323">
              <w:t>.</w:t>
            </w:r>
          </w:p>
          <w:p w14:paraId="010E559B" w14:textId="77777777" w:rsidR="006C4512" w:rsidRDefault="006C4512"/>
        </w:tc>
      </w:tr>
      <w:tr w:rsidR="00BE4C01" w14:paraId="33726393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5443431C" w14:textId="42CA405D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Niveau 2</w:t>
            </w:r>
          </w:p>
        </w:tc>
      </w:tr>
      <w:tr w:rsidR="00BE4C01" w14:paraId="041C1121" w14:textId="77777777" w:rsidTr="00BE4C01">
        <w:tc>
          <w:tcPr>
            <w:tcW w:w="9628" w:type="dxa"/>
          </w:tcPr>
          <w:p w14:paraId="40E74669" w14:textId="77777777" w:rsidR="00BE4C01" w:rsidRDefault="00BE4C01"/>
          <w:p w14:paraId="208F30E0" w14:textId="22F1DC69" w:rsidR="006C4512" w:rsidRDefault="006C4512">
            <w:r>
              <w:t>Intet nyt</w:t>
            </w:r>
            <w:r w:rsidR="00DE0323">
              <w:t>.</w:t>
            </w:r>
          </w:p>
          <w:p w14:paraId="570C0B58" w14:textId="77777777" w:rsidR="006C4512" w:rsidRDefault="006C4512"/>
        </w:tc>
      </w:tr>
      <w:tr w:rsidR="00BE4C01" w14:paraId="15D16C97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2EAF4AB2" w14:textId="47D47A5D" w:rsidR="00BE4C01" w:rsidRPr="005945AC" w:rsidRDefault="00BE4C01" w:rsidP="00BE4C01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RETNINGSLINJER FRA ESA’ERNE</w:t>
            </w:r>
          </w:p>
        </w:tc>
      </w:tr>
      <w:tr w:rsidR="00BE4C01" w14:paraId="7EFB212B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8A36234" w14:textId="6C0B6A7D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EBA</w:t>
            </w:r>
          </w:p>
        </w:tc>
      </w:tr>
      <w:tr w:rsidR="00BE4C01" w14:paraId="46B54A56" w14:textId="77777777" w:rsidTr="00BE4C01">
        <w:tc>
          <w:tcPr>
            <w:tcW w:w="9628" w:type="dxa"/>
          </w:tcPr>
          <w:p w14:paraId="0A94329F" w14:textId="77777777" w:rsidR="00BE4C01" w:rsidRDefault="00BE4C01"/>
          <w:p w14:paraId="67964F3F" w14:textId="33A17027" w:rsidR="00553098" w:rsidRDefault="00553098">
            <w:r>
              <w:t>Intet nyt</w:t>
            </w:r>
            <w:r w:rsidR="00DE0323">
              <w:t>.</w:t>
            </w:r>
          </w:p>
          <w:p w14:paraId="5E1E2D1B" w14:textId="77777777" w:rsidR="00553098" w:rsidRDefault="00553098"/>
        </w:tc>
      </w:tr>
      <w:tr w:rsidR="00BE4C01" w14:paraId="2CFF0838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1FEF4B9" w14:textId="752585A1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ESMA</w:t>
            </w:r>
          </w:p>
        </w:tc>
      </w:tr>
      <w:tr w:rsidR="00BE4C01" w14:paraId="7F315866" w14:textId="77777777" w:rsidTr="00BE4C01">
        <w:tc>
          <w:tcPr>
            <w:tcW w:w="9628" w:type="dxa"/>
          </w:tcPr>
          <w:p w14:paraId="5478EDB9" w14:textId="77777777" w:rsidR="00BE4C01" w:rsidRDefault="00BE4C01"/>
          <w:p w14:paraId="380A7414" w14:textId="77777777" w:rsidR="006376C9" w:rsidRPr="006376C9" w:rsidRDefault="006376C9" w:rsidP="006376C9">
            <w:pPr>
              <w:rPr>
                <w:b/>
                <w:bCs/>
              </w:rPr>
            </w:pPr>
            <w:bookmarkStart w:id="4" w:name="E"/>
            <w:r w:rsidRPr="006376C9">
              <w:rPr>
                <w:b/>
                <w:bCs/>
              </w:rPr>
              <w:t>ESMA fremmer proportionalt tilsyn med MiFID II’s bæredygtighedskrav</w:t>
            </w:r>
          </w:p>
          <w:bookmarkEnd w:id="4"/>
          <w:p w14:paraId="0D9F59A8" w14:textId="77777777" w:rsidR="00B7368B" w:rsidRDefault="00B7368B" w:rsidP="006376C9"/>
          <w:p w14:paraId="0413E23F" w14:textId="2783FD76" w:rsidR="006376C9" w:rsidRPr="006376C9" w:rsidRDefault="006376C9" w:rsidP="006376C9">
            <w:r w:rsidRPr="006376C9">
              <w:t>ESMA præsenterer resultaterne af en fælles tilsynshandling (CSA) om, hvordan bæredygtighed integreres i virksomheders egnethedsvurdering samt i processer og procedurer for produktstyring.</w:t>
            </w:r>
          </w:p>
          <w:p w14:paraId="09DB44E3" w14:textId="48546E0A" w:rsidR="006376C9" w:rsidRPr="006376C9" w:rsidRDefault="006376C9" w:rsidP="006376C9">
            <w:r w:rsidRPr="006376C9">
              <w:t xml:space="preserve">ESMA opfordrer de nationale kompetente myndigheder til at anvende en proportionel tilgang i tilsynet under hensyn til de </w:t>
            </w:r>
            <w:r w:rsidR="007E5435">
              <w:t>igangværende</w:t>
            </w:r>
            <w:r w:rsidRPr="006376C9">
              <w:t xml:space="preserve"> revisioner af reglerne om bæredygtighed.</w:t>
            </w:r>
          </w:p>
          <w:p w14:paraId="57B7AE15" w14:textId="77777777" w:rsidR="00B7368B" w:rsidRDefault="00B7368B" w:rsidP="006376C9"/>
          <w:p w14:paraId="3BEE5C35" w14:textId="353F47F1" w:rsidR="006376C9" w:rsidRPr="006376C9" w:rsidRDefault="006376C9" w:rsidP="006376C9">
            <w:r w:rsidRPr="006376C9">
              <w:t xml:space="preserve">(Offentliggjort den 6. maj 2026, </w:t>
            </w:r>
            <w:hyperlink r:id="rId13" w:history="1">
              <w:r w:rsidRPr="006376C9">
                <w:rPr>
                  <w:rStyle w:val="Hyperlink"/>
                </w:rPr>
                <w:t>link</w:t>
              </w:r>
            </w:hyperlink>
            <w:r w:rsidRPr="006376C9">
              <w:t>)</w:t>
            </w:r>
          </w:p>
          <w:p w14:paraId="6AA04481" w14:textId="77777777" w:rsidR="006376C9" w:rsidRDefault="006376C9"/>
          <w:p w14:paraId="29E632A3" w14:textId="77777777" w:rsidR="006376C9" w:rsidRDefault="006376C9"/>
        </w:tc>
      </w:tr>
    </w:tbl>
    <w:p w14:paraId="3EF988AF" w14:textId="180B6000" w:rsidR="00F20915" w:rsidRDefault="00F20915" w:rsidP="00BE4C01">
      <w:pPr>
        <w:rPr>
          <w:i/>
          <w:iCs/>
        </w:rPr>
      </w:pPr>
    </w:p>
    <w:p w14:paraId="076EAEC1" w14:textId="77777777" w:rsidR="00F20915" w:rsidRDefault="00F20915">
      <w:pPr>
        <w:rPr>
          <w:i/>
          <w:iCs/>
        </w:rPr>
      </w:pPr>
      <w:r>
        <w:rPr>
          <w:i/>
          <w:iCs/>
        </w:rPr>
        <w:br w:type="page"/>
      </w:r>
    </w:p>
    <w:p w14:paraId="330D15D5" w14:textId="77777777" w:rsidR="00F20915" w:rsidRDefault="00F20915" w:rsidP="00BE4C01">
      <w:pPr>
        <w:rPr>
          <w:i/>
          <w:iCs/>
        </w:rPr>
      </w:pPr>
    </w:p>
    <w:p w14:paraId="251BD954" w14:textId="264EFAD5" w:rsidR="00BE4C01" w:rsidRPr="00BE4C01" w:rsidRDefault="00BE4C01" w:rsidP="00BE4C01">
      <w:pPr>
        <w:rPr>
          <w:i/>
          <w:iCs/>
        </w:rPr>
      </w:pPr>
      <w:r w:rsidRPr="00BE4C01">
        <w:rPr>
          <w:i/>
          <w:iCs/>
        </w:rPr>
        <w:t xml:space="preserve">Denne oversigt over ny finansiel regulering er udvalgt af </w:t>
      </w:r>
      <w:r w:rsidR="001928E1">
        <w:rPr>
          <w:i/>
          <w:iCs/>
        </w:rPr>
        <w:t>Equity Law Advokatanpartsselskab</w:t>
      </w:r>
      <w:r w:rsidRPr="00BE4C01">
        <w:rPr>
          <w:i/>
          <w:iCs/>
        </w:rPr>
        <w:t xml:space="preserve"> ud fra regulering, der retter sig direkte til fondsmæglerselskaber og deres holdingvirksomheder. Oversigten er en informationstjeneste og udgør ikke juridisk rådgivning, og </w:t>
      </w:r>
      <w:r w:rsidR="000A03EB">
        <w:rPr>
          <w:i/>
          <w:iCs/>
        </w:rPr>
        <w:t>Equity Law Advokatanpartsselskab</w:t>
      </w:r>
      <w:r w:rsidRPr="00BE4C01">
        <w:rPr>
          <w:i/>
          <w:iCs/>
        </w:rPr>
        <w:t xml:space="preserve"> påtager sig ikke ansvar for fejl eller mangler. </w:t>
      </w:r>
      <w:r w:rsidRPr="00BE4C01">
        <w:rPr>
          <w:noProof/>
        </w:rPr>
        <w:drawing>
          <wp:anchor distT="0" distB="0" distL="114300" distR="114300" simplePos="0" relativeHeight="251659264" behindDoc="0" locked="0" layoutInCell="1" allowOverlap="1" wp14:anchorId="7F4E4D6D" wp14:editId="79FD38D8">
            <wp:simplePos x="0" y="0"/>
            <wp:positionH relativeFrom="column">
              <wp:posOffset>-4098</wp:posOffset>
            </wp:positionH>
            <wp:positionV relativeFrom="paragraph">
              <wp:posOffset>168</wp:posOffset>
            </wp:positionV>
            <wp:extent cx="1401445" cy="1504950"/>
            <wp:effectExtent l="0" t="0" r="8255" b="0"/>
            <wp:wrapSquare wrapText="bothSides"/>
            <wp:docPr id="1686948146" name="Billede 1686948146" descr="Et billede, der indeholder person, mur, menneske,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person, mur, menneske, indendørs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85"/>
                    <a:stretch/>
                  </pic:blipFill>
                  <pic:spPr bwMode="auto">
                    <a:xfrm>
                      <a:off x="0" y="0"/>
                      <a:ext cx="140144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86D39AB" w14:textId="228586F2" w:rsidR="00BE4C01" w:rsidRPr="00BE4C01" w:rsidRDefault="00BE4C01" w:rsidP="00BE4C01">
      <w:pPr>
        <w:rPr>
          <w:i/>
          <w:iCs/>
        </w:rPr>
      </w:pPr>
      <w:r w:rsidRPr="00BE4C01">
        <w:rPr>
          <w:i/>
          <w:iCs/>
        </w:rPr>
        <w:t xml:space="preserve">Oversigten er redigeret af advokat Camilla Søborg, </w:t>
      </w:r>
      <w:hyperlink r:id="rId15" w:history="1">
        <w:r w:rsidR="000A03EB" w:rsidRPr="00401311">
          <w:rPr>
            <w:rStyle w:val="Hyperlink"/>
            <w:i/>
            <w:iCs/>
          </w:rPr>
          <w:t>cas@equitylaw.dk</w:t>
        </w:r>
      </w:hyperlink>
      <w:r w:rsidRPr="00BE4C01">
        <w:rPr>
          <w:i/>
          <w:iCs/>
        </w:rPr>
        <w:t xml:space="preserve">, tlf. 53500914, som du kan rette henvendelse til, hvis du har kommentarer eller spørgsmål. </w:t>
      </w:r>
    </w:p>
    <w:p w14:paraId="514A19E8" w14:textId="77777777" w:rsidR="00BE4C01" w:rsidRPr="00BE4C01" w:rsidRDefault="00BE4C01" w:rsidP="00BE4C01">
      <w:pPr>
        <w:rPr>
          <w:i/>
          <w:iCs/>
        </w:rPr>
      </w:pPr>
    </w:p>
    <w:p w14:paraId="22D0A962" w14:textId="09AEDB04" w:rsidR="00BE4C01" w:rsidRPr="00BE4C01" w:rsidRDefault="006C57C3" w:rsidP="00BE4C01">
      <w:r>
        <w:rPr>
          <w:noProof/>
        </w:rPr>
        <w:drawing>
          <wp:inline distT="0" distB="0" distL="0" distR="0" wp14:anchorId="03371999" wp14:editId="5DB5042A">
            <wp:extent cx="1495425" cy="295275"/>
            <wp:effectExtent l="0" t="0" r="9525" b="9525"/>
            <wp:docPr id="994185766" name="Billede 1" descr="Et billede, der indeholder Font/skrifttype, Grafik, logo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85766" name="Billede 1" descr="Et billede, der indeholder Font/skrifttype, Grafik, logo, tekst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6" t="-2857" r="11765" b="14287"/>
                    <a:stretch/>
                  </pic:blipFill>
                  <pic:spPr bwMode="auto">
                    <a:xfrm>
                      <a:off x="0" y="0"/>
                      <a:ext cx="14954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ACDA41" w14:textId="21F30DBD" w:rsidR="00BE4C01" w:rsidRDefault="00A356F8">
      <w:r>
        <w:t>Equity Law Advokatanpartsselskab</w:t>
      </w:r>
      <w:r w:rsidR="00BE4C01" w:rsidRPr="00BE4C01">
        <w:t>,</w:t>
      </w:r>
      <w:r w:rsidR="00BE4C01" w:rsidRPr="00BE4C01">
        <w:rPr>
          <w:b/>
          <w:bCs/>
        </w:rPr>
        <w:t xml:space="preserve"> </w:t>
      </w:r>
      <w:r w:rsidR="00BE4C01" w:rsidRPr="00BE4C01">
        <w:t xml:space="preserve">CVR-nr. </w:t>
      </w:r>
      <w:r w:rsidR="000D0984" w:rsidRPr="000D0984">
        <w:t>42512273</w:t>
      </w:r>
      <w:r w:rsidR="00BE4C01" w:rsidRPr="00BE4C01">
        <w:t xml:space="preserve">, </w:t>
      </w:r>
      <w:r w:rsidR="000D0984">
        <w:t>Strandvejen 60</w:t>
      </w:r>
      <w:r w:rsidR="00BE4C01" w:rsidRPr="00BE4C01">
        <w:t>, DK-2900 Hellerup</w:t>
      </w:r>
    </w:p>
    <w:sectPr w:rsidR="00BE4C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335C"/>
    <w:multiLevelType w:val="multilevel"/>
    <w:tmpl w:val="DCAC5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463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01"/>
    <w:rsid w:val="000137C6"/>
    <w:rsid w:val="000A03EB"/>
    <w:rsid w:val="000D0984"/>
    <w:rsid w:val="000E7B3B"/>
    <w:rsid w:val="000F31E9"/>
    <w:rsid w:val="001163B2"/>
    <w:rsid w:val="00136D9B"/>
    <w:rsid w:val="001928E1"/>
    <w:rsid w:val="001B06EA"/>
    <w:rsid w:val="001D17EB"/>
    <w:rsid w:val="001D2801"/>
    <w:rsid w:val="001E198B"/>
    <w:rsid w:val="00265438"/>
    <w:rsid w:val="002B6B87"/>
    <w:rsid w:val="002D1A3A"/>
    <w:rsid w:val="00344CB3"/>
    <w:rsid w:val="0035362D"/>
    <w:rsid w:val="00396DD9"/>
    <w:rsid w:val="003B7D51"/>
    <w:rsid w:val="004044A5"/>
    <w:rsid w:val="004062D1"/>
    <w:rsid w:val="00427ED3"/>
    <w:rsid w:val="0045749D"/>
    <w:rsid w:val="004D740B"/>
    <w:rsid w:val="00521F9E"/>
    <w:rsid w:val="00533C93"/>
    <w:rsid w:val="00553098"/>
    <w:rsid w:val="005945AC"/>
    <w:rsid w:val="005A4374"/>
    <w:rsid w:val="005B6864"/>
    <w:rsid w:val="005C2158"/>
    <w:rsid w:val="00601C39"/>
    <w:rsid w:val="006376C9"/>
    <w:rsid w:val="006A0C19"/>
    <w:rsid w:val="006C0074"/>
    <w:rsid w:val="006C4512"/>
    <w:rsid w:val="006C57C3"/>
    <w:rsid w:val="006E5A40"/>
    <w:rsid w:val="00727C98"/>
    <w:rsid w:val="00736BB7"/>
    <w:rsid w:val="00772ABB"/>
    <w:rsid w:val="007E5435"/>
    <w:rsid w:val="008901B6"/>
    <w:rsid w:val="008901EB"/>
    <w:rsid w:val="008E4A8E"/>
    <w:rsid w:val="009911B9"/>
    <w:rsid w:val="009E2192"/>
    <w:rsid w:val="009F0316"/>
    <w:rsid w:val="00A34DDC"/>
    <w:rsid w:val="00A356F8"/>
    <w:rsid w:val="00A831C8"/>
    <w:rsid w:val="00A97075"/>
    <w:rsid w:val="00AC0301"/>
    <w:rsid w:val="00B02E43"/>
    <w:rsid w:val="00B7368B"/>
    <w:rsid w:val="00B73D45"/>
    <w:rsid w:val="00BA5D03"/>
    <w:rsid w:val="00BB16A5"/>
    <w:rsid w:val="00BB34B2"/>
    <w:rsid w:val="00BC1F31"/>
    <w:rsid w:val="00BE4C01"/>
    <w:rsid w:val="00C13D7B"/>
    <w:rsid w:val="00C21A39"/>
    <w:rsid w:val="00D643EC"/>
    <w:rsid w:val="00DC2187"/>
    <w:rsid w:val="00DD48DD"/>
    <w:rsid w:val="00DE0323"/>
    <w:rsid w:val="00E21089"/>
    <w:rsid w:val="00F10BC1"/>
    <w:rsid w:val="00F2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8BD4"/>
  <w15:chartTrackingRefBased/>
  <w15:docId w15:val="{5B722B26-DC46-4DCD-8CA4-7CD3527A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C01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E4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E4C0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E4C0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4C0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D17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sma.europa.eu/press-news/esma-news/esma-promotes-proportionate-supervision-mifid-ii-sustainability-requiremen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inanstilsynet.dk/nyheder-og-presse/nyheder-og-pressemeddelelser/2026/maj/redegoerelse-om-egnethedsvurderinger-i-finanssektor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tsinformation.dk/eli/retsinfo/2026/9500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as@equitylaw.dk" TargetMode="External"/><Relationship Id="rId10" Type="http://schemas.openxmlformats.org/officeDocument/2006/relationships/hyperlink" Target="https://www.retsinformation.dk/eli/lta/2026/47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retsinformation.dk/eli/lta/2026/467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d2aa7-4697-4679-89a8-f7ed825373f6" xsi:nil="true"/>
    <lcf76f155ced4ddcb4097134ff3c332f xmlns="e1ad0fee-deb7-4d11-8342-64349c8749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167DF4E06F5744B57C6F8BE5F564CB" ma:contentTypeVersion="20" ma:contentTypeDescription="Opret et nyt dokument." ma:contentTypeScope="" ma:versionID="4c9fdd3f57380a66db669e25b35dd481">
  <xsd:schema xmlns:xsd="http://www.w3.org/2001/XMLSchema" xmlns:xs="http://www.w3.org/2001/XMLSchema" xmlns:p="http://schemas.microsoft.com/office/2006/metadata/properties" xmlns:ns2="e1ad0fee-deb7-4d11-8342-64349c8749bc" xmlns:ns3="547d2aa7-4697-4679-89a8-f7ed825373f6" targetNamespace="http://schemas.microsoft.com/office/2006/metadata/properties" ma:root="true" ma:fieldsID="0701e95dae96647187809806b243026f" ns2:_="" ns3:_="">
    <xsd:import namespace="e1ad0fee-deb7-4d11-8342-64349c8749bc"/>
    <xsd:import namespace="547d2aa7-4697-4679-89a8-f7ed82537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d0fee-deb7-4d11-8342-64349c874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d399327e-dec2-4cfd-b9e4-ed826a3a2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d2aa7-4697-4679-89a8-f7ed82537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547f4b9-575f-4bb9-9f4d-53a5a71db9dd}" ma:internalName="TaxCatchAll" ma:showField="CatchAllData" ma:web="547d2aa7-4697-4679-89a8-f7ed82537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AF082-B58A-4F52-A56E-EC4AEF91AEFB}">
  <ds:schemaRefs>
    <ds:schemaRef ds:uri="http://schemas.microsoft.com/office/2006/metadata/properties"/>
    <ds:schemaRef ds:uri="http://schemas.microsoft.com/office/infopath/2007/PartnerControls"/>
    <ds:schemaRef ds:uri="547d2aa7-4697-4679-89a8-f7ed825373f6"/>
    <ds:schemaRef ds:uri="e1ad0fee-deb7-4d11-8342-64349c8749bc"/>
  </ds:schemaRefs>
</ds:datastoreItem>
</file>

<file path=customXml/itemProps2.xml><?xml version="1.0" encoding="utf-8"?>
<ds:datastoreItem xmlns:ds="http://schemas.openxmlformats.org/officeDocument/2006/customXml" ds:itemID="{DF44AD3D-F638-4681-B165-D4FC1736A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06F75-EE66-4C7A-8D69-2DF021703C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FC98C-0845-4A94-8D81-1ABEEB673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d0fee-deb7-4d11-8342-64349c8749bc"/>
    <ds:schemaRef ds:uri="547d2aa7-4697-4679-89a8-f7ed82537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549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Søborg</dc:creator>
  <cp:keywords/>
  <dc:description/>
  <cp:lastModifiedBy>Camilla Søborg</cp:lastModifiedBy>
  <cp:revision>36</cp:revision>
  <dcterms:created xsi:type="dcterms:W3CDTF">2026-05-20T08:26:00Z</dcterms:created>
  <dcterms:modified xsi:type="dcterms:W3CDTF">2026-06-02T08:52:00Z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0x0101003E167DF4E06F5744B57C6F8BE5F564CB</vt:lpwstr>
  </property>
  <property fmtid="{D5CDD505-2E9C-101B-9397-08002B2CF9AE}" pid="3" name="MediaServiceImageTags">
    <vt:lpwstr/>
  </property>
</Properties>
</file>