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385AC8F5" w:rsidR="00BE4C01" w:rsidRDefault="00BE4C01" w:rsidP="00BE4C01">
      <w:pPr>
        <w:jc w:val="both"/>
      </w:pPr>
      <w:r>
        <w:t>O</w:t>
      </w:r>
      <w:r w:rsidRPr="005A5267">
        <w:t xml:space="preserve">pdatering for </w:t>
      </w:r>
      <w:r w:rsidR="001247BB">
        <w:t>august</w:t>
      </w:r>
      <w:r w:rsidRPr="005A5267">
        <w:t xml:space="preserve"> </w:t>
      </w:r>
      <w:r>
        <w:t xml:space="preserve">måned </w:t>
      </w:r>
      <w:r w:rsidRPr="005A5267">
        <w:t>2023</w:t>
      </w:r>
    </w:p>
    <w:p w14:paraId="4FC69AF0" w14:textId="77777777" w:rsidR="001247BB" w:rsidRDefault="001247B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6610748B" w14:textId="77777777" w:rsidR="00BE4C01" w:rsidRDefault="00BE4C01"/>
          <w:p w14:paraId="729CD1EA" w14:textId="5E503315" w:rsidR="00C0676D" w:rsidRDefault="00C0676D">
            <w:r>
              <w:t>Vejledning fra Finanstilsynet om</w:t>
            </w:r>
            <w:r w:rsidR="0076280A">
              <w:t xml:space="preserve"> periodisk rapportering om bæredygtighed under SFDR</w:t>
            </w:r>
            <w:r>
              <w:t xml:space="preserve"> </w:t>
            </w:r>
            <w:hyperlink w:anchor="A" w:history="1">
              <w:r w:rsidR="00F229C4" w:rsidRPr="00F229C4">
                <w:rPr>
                  <w:rStyle w:val="Hyperlink"/>
                </w:rPr>
                <w:t>link</w:t>
              </w:r>
            </w:hyperlink>
          </w:p>
          <w:p w14:paraId="4CDAD944" w14:textId="77777777" w:rsidR="00C0676D" w:rsidRDefault="00C0676D"/>
          <w:p w14:paraId="483184F0" w14:textId="1462FD9E" w:rsidR="007D784C" w:rsidRDefault="00D92E4C">
            <w:r>
              <w:t xml:space="preserve">Nye </w:t>
            </w:r>
            <w:r w:rsidR="00497ECD">
              <w:t>sanktioner mod Belarus som følge af landets involvering i Ruslands aggression mod Ukraine</w:t>
            </w:r>
            <w:r w:rsidR="00F229C4">
              <w:t xml:space="preserve"> </w:t>
            </w:r>
            <w:hyperlink w:anchor="B" w:history="1">
              <w:r w:rsidR="00F229C4" w:rsidRPr="00F229C4">
                <w:rPr>
                  <w:rStyle w:val="Hyperlink"/>
                </w:rPr>
                <w:t>link</w:t>
              </w:r>
            </w:hyperlink>
          </w:p>
          <w:p w14:paraId="1ED8CCA3" w14:textId="77777777" w:rsidR="00C0676D" w:rsidRDefault="00C0676D"/>
          <w:p w14:paraId="7526E4BF" w14:textId="680839C6" w:rsidR="00C0676D" w:rsidRDefault="005E340E">
            <w:r>
              <w:t>Nye niveau 2-regler under IFD om særlige likviditetskrav</w:t>
            </w:r>
            <w:r w:rsidR="00F229C4">
              <w:t xml:space="preserve"> </w:t>
            </w:r>
            <w:hyperlink w:anchor="C" w:history="1">
              <w:r w:rsidR="00F229C4" w:rsidRPr="00F229C4">
                <w:rPr>
                  <w:rStyle w:val="Hyperlink"/>
                </w:rPr>
                <w:t>link</w:t>
              </w:r>
            </w:hyperlink>
          </w:p>
          <w:p w14:paraId="336BCCF1" w14:textId="77777777" w:rsidR="005E340E" w:rsidRDefault="005E340E"/>
          <w:p w14:paraId="67AF6D71" w14:textId="13C47572" w:rsidR="005E340E" w:rsidRDefault="005E340E">
            <w:r>
              <w:t xml:space="preserve">Nye niveau 2-regler under IFD om </w:t>
            </w:r>
            <w:r w:rsidR="00900F9D">
              <w:t>yderligere kapitalgrundlagskrav</w:t>
            </w:r>
            <w:r w:rsidR="00F229C4">
              <w:t xml:space="preserve"> </w:t>
            </w:r>
            <w:hyperlink w:anchor="D" w:history="1">
              <w:r w:rsidR="00F229C4" w:rsidRPr="00F229C4">
                <w:rPr>
                  <w:rStyle w:val="Hyperlink"/>
                </w:rPr>
                <w:t>link</w:t>
              </w:r>
            </w:hyperlink>
          </w:p>
          <w:p w14:paraId="774E809C" w14:textId="77777777" w:rsidR="007D784C" w:rsidRDefault="007D784C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35523845" w14:textId="77777777" w:rsidR="00963CD0" w:rsidRDefault="00963CD0"/>
          <w:p w14:paraId="3CBEBCA9" w14:textId="77777777" w:rsidR="00BE4C01" w:rsidRDefault="00DE66E8">
            <w:r>
              <w:t>(intet nyt)</w:t>
            </w:r>
          </w:p>
          <w:p w14:paraId="1136A53C" w14:textId="0815545D" w:rsidR="00963CD0" w:rsidRDefault="00963CD0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4E91F64C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Bekendtgørelse</w:t>
            </w:r>
            <w:r w:rsidR="00963CD0">
              <w:rPr>
                <w:b/>
                <w:bCs/>
              </w:rPr>
              <w:t>r</w:t>
            </w:r>
            <w:r w:rsidR="00BE4EBD">
              <w:rPr>
                <w:b/>
                <w:bCs/>
              </w:rPr>
              <w:t>, vejledninger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012450E5" w14:textId="77777777" w:rsidR="00BE4C01" w:rsidRDefault="00BE4C01"/>
          <w:p w14:paraId="3FF59BFF" w14:textId="77777777" w:rsidR="00B66C12" w:rsidRPr="00B66C12" w:rsidRDefault="00B66C12" w:rsidP="00B66C12">
            <w:pPr>
              <w:rPr>
                <w:b/>
                <w:bCs/>
              </w:rPr>
            </w:pPr>
            <w:bookmarkStart w:id="0" w:name="A"/>
            <w:r w:rsidRPr="00B66C12">
              <w:rPr>
                <w:b/>
                <w:bCs/>
              </w:rPr>
              <w:t>Periodisk rapportering om bæredygtighed for finansielle produkter (SFDR art. 11)</w:t>
            </w:r>
          </w:p>
          <w:bookmarkEnd w:id="0"/>
          <w:p w14:paraId="73FA5917" w14:textId="77777777" w:rsidR="001D73A5" w:rsidRDefault="001D73A5" w:rsidP="00B66C12"/>
          <w:p w14:paraId="4C6E658B" w14:textId="51F9B750" w:rsidR="00B66C12" w:rsidRPr="00B66C12" w:rsidRDefault="00B66C12" w:rsidP="00B66C12">
            <w:r w:rsidRPr="00B66C12">
              <w:t>Finanstilsynet har udarbejdet e</w:t>
            </w:r>
            <w:r w:rsidR="00BE4EBD">
              <w:t>n vejledning i notatform</w:t>
            </w:r>
            <w:r w:rsidRPr="00B66C12">
              <w:t xml:space="preserve"> om kravene til de finansielle markedsdeltageres periodiske rapportering om bæredygtighed.</w:t>
            </w:r>
          </w:p>
          <w:p w14:paraId="423A7284" w14:textId="59B281F4" w:rsidR="00B66C12" w:rsidRPr="00B66C12" w:rsidRDefault="00B66C12" w:rsidP="00B66C12">
            <w:r w:rsidRPr="00B66C12">
              <w:t xml:space="preserve">(Offentliggjort den 30. august 2023, </w:t>
            </w:r>
            <w:hyperlink r:id="rId8" w:history="1">
              <w:r w:rsidRPr="00B66C12">
                <w:rPr>
                  <w:rStyle w:val="Hyperlink"/>
                </w:rPr>
                <w:t>link</w:t>
              </w:r>
            </w:hyperlink>
            <w:r w:rsidRPr="00B66C12">
              <w:t>)</w:t>
            </w:r>
          </w:p>
          <w:p w14:paraId="2BE89B52" w14:textId="77777777" w:rsidR="00B66C12" w:rsidRDefault="00B66C12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14:paraId="1DF6C69F" w14:textId="77777777" w:rsidTr="00BE4C01">
        <w:tc>
          <w:tcPr>
            <w:tcW w:w="9628" w:type="dxa"/>
          </w:tcPr>
          <w:p w14:paraId="557ADACA" w14:textId="77777777" w:rsidR="00BE4C01" w:rsidRDefault="00BE4C01"/>
          <w:p w14:paraId="78EE54AF" w14:textId="77777777" w:rsidR="00C7312D" w:rsidRPr="00C7312D" w:rsidRDefault="00C7312D" w:rsidP="00C7312D">
            <w:pPr>
              <w:rPr>
                <w:b/>
                <w:bCs/>
              </w:rPr>
            </w:pPr>
            <w:bookmarkStart w:id="1" w:name="B"/>
            <w:r w:rsidRPr="00C7312D">
              <w:rPr>
                <w:b/>
                <w:bCs/>
              </w:rPr>
              <w:t>Rådets forordning (EU) 2023/1594 af 3. august 2023 om ændring af forordning (EF) nr. 765/2006 om restriktive foranstaltninger på baggrund af situationen i Belarus og Belarus’ involvering i den russiske aggression mod Ukraine</w:t>
            </w:r>
          </w:p>
          <w:bookmarkEnd w:id="1"/>
          <w:p w14:paraId="2C971BE6" w14:textId="77777777" w:rsidR="001D73A5" w:rsidRDefault="001D73A5" w:rsidP="00C7312D"/>
          <w:p w14:paraId="4A2818D2" w14:textId="6638D02C" w:rsidR="001B51F7" w:rsidRDefault="001B51F7" w:rsidP="00C7312D">
            <w:r w:rsidRPr="00221460">
              <w:t>Rådet</w:t>
            </w:r>
            <w:r>
              <w:t xml:space="preserve"> har </w:t>
            </w:r>
            <w:r w:rsidRPr="00221460">
              <w:t>vedtage</w:t>
            </w:r>
            <w:r>
              <w:t xml:space="preserve">t </w:t>
            </w:r>
            <w:r w:rsidRPr="00221460">
              <w:t>yderligere målrettede restriktive foranstaltninger som følge af Ruslands ulovlige invasion af Ukraine og som reaktion på Hvideruslands involvering i aggressionen. Bl.a. bringer ændringerne sanktionerne mod Hviderusland i overensstemmelse med sanktionsordningen mod Rusland</w:t>
            </w:r>
            <w:r w:rsidR="00D33FDD">
              <w:t>.</w:t>
            </w:r>
          </w:p>
          <w:p w14:paraId="55B57568" w14:textId="3DF15CBA" w:rsidR="00C7312D" w:rsidRDefault="00D5270F" w:rsidP="00C7312D">
            <w:r>
              <w:t>(</w:t>
            </w:r>
            <w:r w:rsidR="00314471">
              <w:t>O</w:t>
            </w:r>
            <w:r w:rsidR="00C7312D" w:rsidRPr="00C7312D">
              <w:t xml:space="preserve">ffentliggjort den 4. august 2023, </w:t>
            </w:r>
            <w:hyperlink r:id="rId9" w:history="1">
              <w:r w:rsidR="00C7312D" w:rsidRPr="00C7312D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010E559B" w14:textId="77777777" w:rsidR="00C7312D" w:rsidRDefault="00C7312D" w:rsidP="00314471"/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7862DCD5" w14:textId="77777777" w:rsidR="00BE4C01" w:rsidRDefault="00BE4C01"/>
          <w:p w14:paraId="02D0AE9D" w14:textId="77777777" w:rsidR="00BF6191" w:rsidRPr="00BF6191" w:rsidRDefault="00BF6191" w:rsidP="00BF6191">
            <w:bookmarkStart w:id="2" w:name="C"/>
            <w:r w:rsidRPr="00BF6191">
              <w:rPr>
                <w:b/>
                <w:bCs/>
              </w:rPr>
              <w:t>Kommissionens delegerede forordning (EU) 2023/1651 af 17. maj 2023 om supplerende regler til Europa-Parlamentets og Rådets direktiv (EU) 2019/2034 for så vidt angår reguleringsmæssige tekniske standarder for specifik likviditetsmåling af investeringsselskaber i henhold til nævnte direktivs artikel 42, stk. 6</w:t>
            </w:r>
            <w:bookmarkEnd w:id="2"/>
            <w:r w:rsidRPr="00BF6191">
              <w:t xml:space="preserve"> </w:t>
            </w:r>
          </w:p>
          <w:p w14:paraId="586B1FA1" w14:textId="77777777" w:rsidR="00EC1EE1" w:rsidRDefault="00EC1EE1" w:rsidP="00BF6191"/>
          <w:p w14:paraId="1AC7711D" w14:textId="5B302DDB" w:rsidR="00BF6191" w:rsidRPr="00BF6191" w:rsidRDefault="000D4E59" w:rsidP="00BF6191">
            <w:r>
              <w:t xml:space="preserve">Disse </w:t>
            </w:r>
            <w:r w:rsidR="00BF6191" w:rsidRPr="00BF6191">
              <w:t>niveau 2-regler under IFD vedrøre</w:t>
            </w:r>
            <w:r>
              <w:t>r</w:t>
            </w:r>
            <w:r w:rsidR="00BF6191" w:rsidRPr="00BF6191">
              <w:t xml:space="preserve"> </w:t>
            </w:r>
            <w:r w:rsidR="00D65B0C">
              <w:t xml:space="preserve">de kompetente myndigheders </w:t>
            </w:r>
            <w:r w:rsidR="00787E47">
              <w:t>påbud til investeringsselskaber om særlige likviditetskrav</w:t>
            </w:r>
            <w:r w:rsidR="002C3649">
              <w:t xml:space="preserve"> efter </w:t>
            </w:r>
            <w:r w:rsidR="000830D9">
              <w:t>IFD artikel 42</w:t>
            </w:r>
            <w:r w:rsidR="002D2652">
              <w:t>, som</w:t>
            </w:r>
            <w:r w:rsidR="002D790D">
              <w:t xml:space="preserve"> i Danmark</w:t>
            </w:r>
            <w:r w:rsidR="002D2652">
              <w:t xml:space="preserve"> er gennemført </w:t>
            </w:r>
            <w:r w:rsidR="00C9592C">
              <w:t>ved</w:t>
            </w:r>
            <w:r w:rsidR="002D2652">
              <w:t xml:space="preserve"> </w:t>
            </w:r>
            <w:r w:rsidR="00C9592C">
              <w:t xml:space="preserve">§ 124 i lov om </w:t>
            </w:r>
            <w:r w:rsidR="00C9592C">
              <w:lastRenderedPageBreak/>
              <w:t>fondsmæglerselskaber og investeringsservice og -aktiviteter</w:t>
            </w:r>
            <w:r w:rsidR="00BF6191" w:rsidRPr="00BF6191">
              <w:t>.</w:t>
            </w:r>
            <w:r w:rsidR="007F237D">
              <w:t xml:space="preserve"> Niveau 2-reglerne</w:t>
            </w:r>
            <w:r w:rsidR="00B27D2D">
              <w:t xml:space="preserve"> fastsætter </w:t>
            </w:r>
            <w:r w:rsidR="0058507F">
              <w:t xml:space="preserve">bl.a. </w:t>
            </w:r>
            <w:r w:rsidR="00B27D2D">
              <w:t>nærmere rammer for</w:t>
            </w:r>
            <w:r w:rsidR="0058507F">
              <w:t xml:space="preserve">, hvilke </w:t>
            </w:r>
            <w:r w:rsidR="001F6116">
              <w:t>faktorer myndighede</w:t>
            </w:r>
            <w:r w:rsidR="00CD7B21">
              <w:t>rne</w:t>
            </w:r>
            <w:r w:rsidR="001F6116">
              <w:t xml:space="preserve"> skal inddrage ved</w:t>
            </w:r>
            <w:r w:rsidR="00B27D2D">
              <w:t xml:space="preserve"> </w:t>
            </w:r>
            <w:r w:rsidR="00B27D2D" w:rsidRPr="00B27D2D">
              <w:t>fastsætte</w:t>
            </w:r>
            <w:r w:rsidR="001F6116">
              <w:t>lsen af</w:t>
            </w:r>
            <w:r w:rsidR="00B27D2D" w:rsidRPr="00B27D2D">
              <w:t>, hvor mange likvide aktiver investeringsselskab</w:t>
            </w:r>
            <w:r w:rsidR="005802AE">
              <w:t>er</w:t>
            </w:r>
            <w:r w:rsidR="00B27D2D" w:rsidRPr="00B27D2D">
              <w:t xml:space="preserve"> skal besidde for at dække likviditetsbehov</w:t>
            </w:r>
            <w:r w:rsidR="000730B8">
              <w:t>et.</w:t>
            </w:r>
            <w:r w:rsidR="00BE7AFC">
              <w:t xml:space="preserve"> Forordningen </w:t>
            </w:r>
            <w:r w:rsidR="00594195">
              <w:t xml:space="preserve">anvendes fra </w:t>
            </w:r>
            <w:r w:rsidR="00BE7AFC">
              <w:t>den 12. september 2023.</w:t>
            </w:r>
            <w:r w:rsidR="00BF6191" w:rsidRPr="00BF6191">
              <w:t xml:space="preserve"> </w:t>
            </w:r>
          </w:p>
          <w:p w14:paraId="704B223A" w14:textId="77777777" w:rsidR="00BF6191" w:rsidRDefault="00BF6191" w:rsidP="00BF6191">
            <w:r w:rsidRPr="00BF6191">
              <w:t xml:space="preserve">(Offentliggjort den 23. august 2023, </w:t>
            </w:r>
            <w:hyperlink r:id="rId10" w:history="1">
              <w:r w:rsidRPr="00BF6191">
                <w:rPr>
                  <w:rStyle w:val="Hyperlink"/>
                </w:rPr>
                <w:t>link</w:t>
              </w:r>
            </w:hyperlink>
            <w:r w:rsidRPr="00BF6191">
              <w:t>)</w:t>
            </w:r>
          </w:p>
          <w:p w14:paraId="25EB94C2" w14:textId="77777777" w:rsidR="00085EDF" w:rsidRDefault="00085EDF" w:rsidP="00BF6191"/>
          <w:p w14:paraId="4A1E1DC8" w14:textId="77777777" w:rsidR="00085EDF" w:rsidRPr="00085EDF" w:rsidRDefault="00085EDF" w:rsidP="00085EDF">
            <w:pPr>
              <w:rPr>
                <w:b/>
                <w:bCs/>
              </w:rPr>
            </w:pPr>
            <w:bookmarkStart w:id="3" w:name="D"/>
            <w:r w:rsidRPr="00085EDF">
              <w:rPr>
                <w:b/>
                <w:bCs/>
              </w:rPr>
              <w:t xml:space="preserve">Kommissionens delegerede forordning (EU) 2023/1668 af 25. maj 2023 om supplerende regler til Europa-Parlamentets og Rådets direktiv (EU) 2019/2034 for så vidt angår reguleringsmæssige tekniske standarder, der præciserer målingen af risici eller risikoelementer, der ikke eller ikke i tilstrækkelig grad er dækket af kapitalgrundlagskravene i tredje og fjerde del i Europa-Parlamentets og Rådets forordning (EU) 2019/2033, og de vejledende kvalitative målestokke for det yderligere kapitalgrundlag </w:t>
            </w:r>
          </w:p>
          <w:bookmarkEnd w:id="3"/>
          <w:p w14:paraId="53FD96C1" w14:textId="77777777" w:rsidR="005802AE" w:rsidRDefault="005802AE" w:rsidP="00085EDF"/>
          <w:p w14:paraId="6C314A16" w14:textId="2C625362" w:rsidR="002A5745" w:rsidRPr="00085EDF" w:rsidRDefault="00085EDF" w:rsidP="00085EDF">
            <w:r w:rsidRPr="00085EDF">
              <w:t xml:space="preserve">Der er tale om niveau 2-regler, der </w:t>
            </w:r>
            <w:r w:rsidR="001E4407">
              <w:t>harmonisere</w:t>
            </w:r>
            <w:r w:rsidR="005E340E">
              <w:t>r</w:t>
            </w:r>
            <w:r w:rsidR="001E4407">
              <w:t xml:space="preserve"> myndighedernes vurderinger </w:t>
            </w:r>
            <w:r w:rsidR="00C84068">
              <w:t xml:space="preserve">af </w:t>
            </w:r>
            <w:r w:rsidR="00BF56F5">
              <w:t>behovet</w:t>
            </w:r>
            <w:r w:rsidRPr="00085EDF">
              <w:t xml:space="preserve"> for yderligere kapitalgrundlag for investeringsselskaber under IFD</w:t>
            </w:r>
            <w:r w:rsidR="00AF3997">
              <w:t xml:space="preserve"> artikel 40, som </w:t>
            </w:r>
            <w:r w:rsidR="002D790D" w:rsidRPr="002D790D">
              <w:t xml:space="preserve">i Danmark </w:t>
            </w:r>
            <w:r w:rsidR="00AF3997">
              <w:t xml:space="preserve">er gennemført ved § 121 i </w:t>
            </w:r>
            <w:r w:rsidR="00AF3997" w:rsidRPr="00AF3997">
              <w:t>lov om fondsmæglerselskaber og investeringsservice og -aktiviteter</w:t>
            </w:r>
            <w:r w:rsidRPr="00085EDF">
              <w:t xml:space="preserve">. </w:t>
            </w:r>
            <w:r w:rsidR="002A5745" w:rsidRPr="002A5745">
              <w:t xml:space="preserve">Forordningen anvendes fra den </w:t>
            </w:r>
            <w:r w:rsidR="000C2E5A">
              <w:t>20</w:t>
            </w:r>
            <w:r w:rsidR="002A5745" w:rsidRPr="002A5745">
              <w:t>. september 2023.</w:t>
            </w:r>
          </w:p>
          <w:p w14:paraId="6751ED00" w14:textId="77777777" w:rsidR="00085EDF" w:rsidRPr="00085EDF" w:rsidRDefault="00085EDF" w:rsidP="00085EDF">
            <w:r w:rsidRPr="00085EDF">
              <w:t xml:space="preserve">(Offentliggjort den 31. august 2023, </w:t>
            </w:r>
            <w:hyperlink r:id="rId11" w:history="1">
              <w:r w:rsidRPr="00085EDF">
                <w:rPr>
                  <w:rStyle w:val="Hyperlink"/>
                </w:rPr>
                <w:t>link</w:t>
              </w:r>
            </w:hyperlink>
            <w:r w:rsidRPr="00085EDF">
              <w:t>)</w:t>
            </w:r>
          </w:p>
          <w:p w14:paraId="570C0B58" w14:textId="77777777" w:rsidR="00BF6191" w:rsidRDefault="00BF6191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EBA</w:t>
            </w:r>
          </w:p>
        </w:tc>
      </w:tr>
      <w:tr w:rsidR="00BE4C01" w14:paraId="46B54A56" w14:textId="77777777" w:rsidTr="00BE4C01">
        <w:tc>
          <w:tcPr>
            <w:tcW w:w="9628" w:type="dxa"/>
          </w:tcPr>
          <w:p w14:paraId="68B3868D" w14:textId="77777777" w:rsidR="00BE4C01" w:rsidRDefault="00BE4C01"/>
          <w:p w14:paraId="3C322979" w14:textId="71B158BC" w:rsidR="00837267" w:rsidRDefault="00837267">
            <w:r>
              <w:t>(intet nyt)</w:t>
            </w:r>
          </w:p>
          <w:p w14:paraId="5E1E2D1B" w14:textId="77777777" w:rsidR="00837267" w:rsidRDefault="00837267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ESMA</w:t>
            </w:r>
          </w:p>
        </w:tc>
      </w:tr>
      <w:tr w:rsidR="00BE4C01" w14:paraId="7F315866" w14:textId="77777777" w:rsidTr="00BE4C01">
        <w:tc>
          <w:tcPr>
            <w:tcW w:w="9628" w:type="dxa"/>
          </w:tcPr>
          <w:p w14:paraId="1BC45F09" w14:textId="77777777" w:rsidR="00BE4C01" w:rsidRDefault="00BE4C01"/>
          <w:p w14:paraId="6B13B07B" w14:textId="77777777" w:rsidR="00837267" w:rsidRPr="00837267" w:rsidRDefault="00837267" w:rsidP="00837267">
            <w:r w:rsidRPr="00837267">
              <w:t>(intet nyt)</w:t>
            </w:r>
          </w:p>
          <w:p w14:paraId="29E632A3" w14:textId="77777777" w:rsidR="00837267" w:rsidRDefault="00837267"/>
        </w:tc>
      </w:tr>
    </w:tbl>
    <w:p w14:paraId="329D25E6" w14:textId="77777777" w:rsidR="00BE4C01" w:rsidRDefault="00BE4C01"/>
    <w:p w14:paraId="6BBF4DE2" w14:textId="77777777" w:rsidR="00BE4C01" w:rsidRPr="00BE4C01" w:rsidRDefault="00BE4C01" w:rsidP="00BE4C01"/>
    <w:p w14:paraId="251BD954" w14:textId="77777777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Denne oversigt over ny finansiel regulering er udvalgt af Capital Law CPH ud fra regulering, der retter sig direkte til fondsmæglerselskaber og deres </w:t>
      </w:r>
      <w:proofErr w:type="spellStart"/>
      <w:r w:rsidRPr="00BE4C01">
        <w:rPr>
          <w:i/>
          <w:iCs/>
        </w:rPr>
        <w:t>holdingvirksomheder</w:t>
      </w:r>
      <w:proofErr w:type="spellEnd"/>
      <w:r w:rsidRPr="00BE4C01">
        <w:rPr>
          <w:i/>
          <w:iCs/>
        </w:rPr>
        <w:t xml:space="preserve">. Oversigten er en informationstjeneste og udgør ikke juridisk rådgivning, og Capital Law CPH påtager sig ikke ansvar for fejl eller mangler. </w:t>
      </w:r>
      <w:r w:rsidRPr="00BE4C01">
        <w:rPr>
          <w:noProof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77777777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Oversigten er redigeret af advokat og partner Camilla Søborg, </w:t>
      </w:r>
      <w:hyperlink r:id="rId13" w:history="1">
        <w:r w:rsidRPr="00BE4C01">
          <w:rPr>
            <w:rStyle w:val="Hyperlink"/>
            <w:i/>
            <w:iCs/>
          </w:rPr>
          <w:t>cas@capitallawcph.dk</w:t>
        </w:r>
      </w:hyperlink>
      <w:r w:rsidRPr="00BE4C01">
        <w:rPr>
          <w:i/>
          <w:iCs/>
        </w:rPr>
        <w:t xml:space="preserve">, tlf. 53500914, som du kan rette henvendelse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77777777" w:rsidR="00BE4C01" w:rsidRPr="00BE4C01" w:rsidRDefault="00BE4C01" w:rsidP="00BE4C01">
      <w:r w:rsidRPr="00BE4C01">
        <w:rPr>
          <w:noProof/>
        </w:rPr>
        <w:drawing>
          <wp:inline distT="0" distB="0" distL="0" distR="0" wp14:anchorId="027AA631" wp14:editId="364652AF">
            <wp:extent cx="1600200" cy="304800"/>
            <wp:effectExtent l="0" t="0" r="0" b="0"/>
            <wp:docPr id="1" name="Billede 1" descr="Et billede, der indeholder tekst, skilt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ilt&#10;&#10;Automatisk genereret beskrivels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ECEBF" w14:textId="77777777" w:rsidR="00BE4C01" w:rsidRPr="00BE4C01" w:rsidRDefault="00BE4C01" w:rsidP="00BE4C01">
      <w:r w:rsidRPr="00BE4C01">
        <w:t>Capital Law CPH Advokater I/S,</w:t>
      </w:r>
      <w:r w:rsidRPr="00BE4C01">
        <w:rPr>
          <w:b/>
          <w:bCs/>
        </w:rPr>
        <w:t xml:space="preserve"> </w:t>
      </w:r>
      <w:r w:rsidRPr="00BE4C01">
        <w:t>CVR-nr. 42075000, Hellerupvej 5, DK-2900 Hellerup</w:t>
      </w:r>
    </w:p>
    <w:p w14:paraId="6AACDA41" w14:textId="77777777" w:rsidR="00BE4C01" w:rsidRDefault="00BE4C01"/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6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0730B8"/>
    <w:rsid w:val="000830D9"/>
    <w:rsid w:val="00085EDF"/>
    <w:rsid w:val="000C2E5A"/>
    <w:rsid w:val="000D4E59"/>
    <w:rsid w:val="001163B2"/>
    <w:rsid w:val="001247BB"/>
    <w:rsid w:val="001B51F7"/>
    <w:rsid w:val="001D2801"/>
    <w:rsid w:val="001D73A5"/>
    <w:rsid w:val="001E16C2"/>
    <w:rsid w:val="001E4407"/>
    <w:rsid w:val="001F6116"/>
    <w:rsid w:val="00221460"/>
    <w:rsid w:val="00265438"/>
    <w:rsid w:val="002A5745"/>
    <w:rsid w:val="002B6B87"/>
    <w:rsid w:val="002C3649"/>
    <w:rsid w:val="002D2652"/>
    <w:rsid w:val="002D790D"/>
    <w:rsid w:val="00314471"/>
    <w:rsid w:val="00344CB3"/>
    <w:rsid w:val="003B7D51"/>
    <w:rsid w:val="00427ED3"/>
    <w:rsid w:val="0045749D"/>
    <w:rsid w:val="00497ECD"/>
    <w:rsid w:val="004D740B"/>
    <w:rsid w:val="005802AE"/>
    <w:rsid w:val="0058507F"/>
    <w:rsid w:val="00594195"/>
    <w:rsid w:val="005945AC"/>
    <w:rsid w:val="005E340E"/>
    <w:rsid w:val="0073660C"/>
    <w:rsid w:val="0076280A"/>
    <w:rsid w:val="00787E47"/>
    <w:rsid w:val="007D784C"/>
    <w:rsid w:val="007F237D"/>
    <w:rsid w:val="00837267"/>
    <w:rsid w:val="00900F9D"/>
    <w:rsid w:val="00963CD0"/>
    <w:rsid w:val="009911B9"/>
    <w:rsid w:val="009E61BB"/>
    <w:rsid w:val="00A97075"/>
    <w:rsid w:val="00AF3997"/>
    <w:rsid w:val="00B27D2D"/>
    <w:rsid w:val="00B66C12"/>
    <w:rsid w:val="00BE4C01"/>
    <w:rsid w:val="00BE4EBD"/>
    <w:rsid w:val="00BE7AFC"/>
    <w:rsid w:val="00BF56F5"/>
    <w:rsid w:val="00BF6191"/>
    <w:rsid w:val="00C0676D"/>
    <w:rsid w:val="00C21A39"/>
    <w:rsid w:val="00C7312D"/>
    <w:rsid w:val="00C84068"/>
    <w:rsid w:val="00C9592C"/>
    <w:rsid w:val="00CD7B21"/>
    <w:rsid w:val="00D33FDD"/>
    <w:rsid w:val="00D5270F"/>
    <w:rsid w:val="00D65B0C"/>
    <w:rsid w:val="00D92E4C"/>
    <w:rsid w:val="00DE66E8"/>
    <w:rsid w:val="00EC1EE1"/>
    <w:rsid w:val="00EE4B2D"/>
    <w:rsid w:val="00F10BC1"/>
    <w:rsid w:val="00F2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67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D4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stilsynet.dk/Nyheder-og-Presse/Sektornyt/2023/Periodisk_rapportering_sfdr_300823" TargetMode="External"/><Relationship Id="rId13" Type="http://schemas.openxmlformats.org/officeDocument/2006/relationships/hyperlink" Target="mailto:cas@capitallawcph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DA/TXT/?uri=uriserv%3AOJ.L_.2023.214.01.0001.01.DAN&amp;toc=OJ%3AL%3A2023%3A214%3ATO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DA/TXT/?uri=uriserv%3AOJ.L_.2023.208.01.0003.01.DAN&amp;toc=OJ%3AL%3A2023%3A208%3ATO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-lex.europa.eu/legal-content/DA/TXT/?uri=uriserv%3AOJ.L_.2023.196.01.0003.01.DAN&amp;toc=OJ%3AL%3A2023%3A196%3ATO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ad0fee-deb7-4d11-8342-64349c8749bc">
      <Terms xmlns="http://schemas.microsoft.com/office/infopath/2007/PartnerControls"/>
    </lcf76f155ced4ddcb4097134ff3c332f>
    <TaxCatchAll xmlns="547d2aa7-4697-4679-89a8-f7ed825373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19" ma:contentTypeDescription="Opret et nyt dokument." ma:contentTypeScope="" ma:versionID="63d3ae8bfb4707f5f003d649ed01e05a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65d1a4489584d8d12ead7139924ff71e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DB1B1-6449-4BA2-AC2A-E81BDFE4CCDE}">
  <ds:schemaRefs>
    <ds:schemaRef ds:uri="http://schemas.microsoft.com/office/2006/metadata/properties"/>
    <ds:schemaRef ds:uri="http://schemas.microsoft.com/office/infopath/2007/PartnerControls"/>
    <ds:schemaRef ds:uri="e1ad0fee-deb7-4d11-8342-64349c8749bc"/>
    <ds:schemaRef ds:uri="547d2aa7-4697-4679-89a8-f7ed825373f6"/>
  </ds:schemaRefs>
</ds:datastoreItem>
</file>

<file path=customXml/itemProps2.xml><?xml version="1.0" encoding="utf-8"?>
<ds:datastoreItem xmlns:ds="http://schemas.openxmlformats.org/officeDocument/2006/customXml" ds:itemID="{BF8B6AB6-C376-4B77-AE12-198338C9B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D5747-38DE-42FE-922B-9007BA5D8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52</cp:revision>
  <cp:lastPrinted>2023-09-04T08:20:00Z</cp:lastPrinted>
  <dcterms:created xsi:type="dcterms:W3CDTF">2023-09-04T07:20:00Z</dcterms:created>
  <dcterms:modified xsi:type="dcterms:W3CDTF">2023-09-04T08:34:00Z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0x0101003E167DF4E06F5744B57C6F8BE5F564CB</vt:lpwstr>
  </property>
</Properties>
</file>