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202A" w14:textId="668526E1" w:rsidR="00D031F4" w:rsidRPr="00D031F4" w:rsidRDefault="00CF4372" w:rsidP="00CF4372">
      <w:pPr>
        <w:tabs>
          <w:tab w:val="left" w:pos="5341"/>
        </w:tabs>
        <w:jc w:val="both"/>
        <w:rPr>
          <w:i/>
          <w:iCs/>
        </w:rPr>
      </w:pPr>
      <w:r>
        <w:rPr>
          <w:i/>
          <w:iCs/>
        </w:rPr>
        <w:tab/>
      </w:r>
    </w:p>
    <w:p w14:paraId="2DDEC78F" w14:textId="64A62A00" w:rsidR="00B1580C" w:rsidRPr="008A1C76" w:rsidRDefault="00E14F21" w:rsidP="00043B28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C5CC6" w:rsidRPr="008A1C76">
        <w:rPr>
          <w:sz w:val="28"/>
          <w:szCs w:val="28"/>
        </w:rPr>
        <w:t xml:space="preserve">y </w:t>
      </w:r>
      <w:r w:rsidR="00F24BCC" w:rsidRPr="008A1C76">
        <w:rPr>
          <w:sz w:val="28"/>
          <w:szCs w:val="28"/>
        </w:rPr>
        <w:t xml:space="preserve">finansiel </w:t>
      </w:r>
      <w:r w:rsidR="003C5CC6" w:rsidRPr="008A1C76">
        <w:rPr>
          <w:sz w:val="28"/>
          <w:szCs w:val="28"/>
        </w:rPr>
        <w:t>regulering</w:t>
      </w:r>
      <w:r w:rsidR="00CC2566">
        <w:rPr>
          <w:sz w:val="28"/>
          <w:szCs w:val="28"/>
        </w:rPr>
        <w:t xml:space="preserve"> for fondsmæglerselskaber</w:t>
      </w:r>
      <w:r w:rsidR="00270AAC" w:rsidRPr="008A1C76">
        <w:rPr>
          <w:sz w:val="28"/>
          <w:szCs w:val="28"/>
        </w:rPr>
        <w:t xml:space="preserve"> </w:t>
      </w:r>
    </w:p>
    <w:p w14:paraId="2FF16003" w14:textId="0A04D156" w:rsidR="004360DB" w:rsidRDefault="003C51C9" w:rsidP="00043B28">
      <w:pPr>
        <w:jc w:val="both"/>
      </w:pPr>
      <w:r>
        <w:t>O</w:t>
      </w:r>
      <w:r w:rsidR="004F2749" w:rsidRPr="005A5267">
        <w:t xml:space="preserve">pdatering for </w:t>
      </w:r>
      <w:r w:rsidR="005A5267" w:rsidRPr="005A5267">
        <w:t>juli</w:t>
      </w:r>
      <w:r w:rsidR="004F2749" w:rsidRPr="005A5267">
        <w:t xml:space="preserve"> </w:t>
      </w:r>
      <w:r w:rsidR="00023DF9">
        <w:t xml:space="preserve">måned </w:t>
      </w:r>
      <w:r w:rsidR="008D30DC" w:rsidRPr="005A5267">
        <w:t>2023</w:t>
      </w:r>
    </w:p>
    <w:p w14:paraId="0334BE9A" w14:textId="77777777" w:rsidR="00B1580C" w:rsidRDefault="00B1580C" w:rsidP="00043B28">
      <w:pPr>
        <w:jc w:val="both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3688" w:rsidRPr="002548F7" w14:paraId="4AE3A7BA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2AE26905" w14:textId="0D9CA790" w:rsidR="00423688" w:rsidRPr="002548F7" w:rsidRDefault="00423688" w:rsidP="00935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Overblik</w:t>
            </w:r>
          </w:p>
        </w:tc>
      </w:tr>
      <w:tr w:rsidR="009F1313" w:rsidRPr="002548F7" w14:paraId="1E06E8CA" w14:textId="77777777" w:rsidTr="00423688">
        <w:tc>
          <w:tcPr>
            <w:tcW w:w="0" w:type="auto"/>
            <w:shd w:val="clear" w:color="auto" w:fill="auto"/>
          </w:tcPr>
          <w:p w14:paraId="47E482D2" w14:textId="77777777" w:rsidR="00D16701" w:rsidRDefault="00D16701" w:rsidP="00935A29">
            <w:pPr>
              <w:jc w:val="both"/>
              <w:rPr>
                <w:b/>
                <w:bCs/>
              </w:rPr>
            </w:pPr>
          </w:p>
          <w:p w14:paraId="7FF9C3F4" w14:textId="6FD7603C" w:rsidR="009F1313" w:rsidRDefault="00D16701" w:rsidP="00935A29">
            <w:pPr>
              <w:jc w:val="both"/>
              <w:rPr>
                <w:b/>
                <w:bCs/>
              </w:rPr>
            </w:pPr>
            <w:r w:rsidRPr="00D16701">
              <w:rPr>
                <w:b/>
                <w:bCs/>
              </w:rPr>
              <w:t>Ny praksis for tilladelse til koncerninterne eksponeringer for fondsmæglerselskaber</w:t>
            </w:r>
            <w:r w:rsidR="007A0702">
              <w:rPr>
                <w:b/>
                <w:bCs/>
              </w:rPr>
              <w:t xml:space="preserve"> </w:t>
            </w:r>
            <w:hyperlink w:anchor="første" w:history="1">
              <w:r w:rsidR="007A0702" w:rsidRPr="007A0702">
                <w:rPr>
                  <w:rStyle w:val="Hyperlink"/>
                  <w:b/>
                  <w:bCs/>
                </w:rPr>
                <w:t>link</w:t>
              </w:r>
            </w:hyperlink>
            <w:r w:rsidR="00331153">
              <w:rPr>
                <w:b/>
                <w:bCs/>
              </w:rPr>
              <w:t xml:space="preserve">  </w:t>
            </w:r>
          </w:p>
          <w:p w14:paraId="4CD9B325" w14:textId="77777777" w:rsidR="00D16701" w:rsidRDefault="00D16701" w:rsidP="00935A29">
            <w:pPr>
              <w:jc w:val="both"/>
              <w:rPr>
                <w:b/>
                <w:bCs/>
              </w:rPr>
            </w:pPr>
          </w:p>
          <w:p w14:paraId="33944752" w14:textId="39DB9AE9" w:rsidR="00423688" w:rsidRDefault="00A30FE5" w:rsidP="00935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Meddelelse </w:t>
            </w:r>
            <w:r w:rsidR="000419B9">
              <w:rPr>
                <w:b/>
                <w:bCs/>
              </w:rPr>
              <w:t>fra EBA</w:t>
            </w:r>
            <w:r>
              <w:rPr>
                <w:b/>
                <w:bCs/>
              </w:rPr>
              <w:t xml:space="preserve"> til virksomheder</w:t>
            </w:r>
            <w:r w:rsidR="000116A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der vil udføre</w:t>
            </w:r>
            <w:r w:rsidR="006A1930">
              <w:rPr>
                <w:b/>
                <w:bCs/>
              </w:rPr>
              <w:t xml:space="preserve"> aktiviteter med</w:t>
            </w:r>
            <w:r>
              <w:rPr>
                <w:b/>
                <w:bCs/>
              </w:rPr>
              <w:t xml:space="preserve"> aktivbaserede </w:t>
            </w:r>
            <w:proofErr w:type="spellStart"/>
            <w:r>
              <w:rPr>
                <w:b/>
                <w:bCs/>
              </w:rPr>
              <w:t>token</w:t>
            </w:r>
            <w:r w:rsidR="000116A1"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 xml:space="preserve"> og elektroniske </w:t>
            </w:r>
            <w:proofErr w:type="spellStart"/>
            <w:r>
              <w:rPr>
                <w:b/>
                <w:bCs/>
              </w:rPr>
              <w:t>pengetokens</w:t>
            </w:r>
            <w:proofErr w:type="spellEnd"/>
            <w:r w:rsidR="00DB40DB">
              <w:rPr>
                <w:b/>
                <w:bCs/>
              </w:rPr>
              <w:t xml:space="preserve"> under </w:t>
            </w:r>
            <w:proofErr w:type="spellStart"/>
            <w:r w:rsidR="00DB40DB">
              <w:rPr>
                <w:b/>
                <w:bCs/>
              </w:rPr>
              <w:t>MiCAR</w:t>
            </w:r>
            <w:proofErr w:type="spellEnd"/>
            <w:r w:rsidR="001465D3">
              <w:rPr>
                <w:b/>
                <w:bCs/>
              </w:rPr>
              <w:t xml:space="preserve"> </w:t>
            </w:r>
            <w:hyperlink w:anchor="andet" w:history="1">
              <w:r w:rsidR="001465D3" w:rsidRPr="001465D3">
                <w:rPr>
                  <w:rStyle w:val="Hyperlink"/>
                  <w:b/>
                  <w:bCs/>
                </w:rPr>
                <w:t>link</w:t>
              </w:r>
            </w:hyperlink>
            <w:r w:rsidR="00331153">
              <w:rPr>
                <w:b/>
                <w:bCs/>
              </w:rPr>
              <w:t xml:space="preserve"> </w:t>
            </w:r>
          </w:p>
          <w:p w14:paraId="15C38BD3" w14:textId="77777777" w:rsidR="00A30FE5" w:rsidRDefault="00A30FE5" w:rsidP="00935A29">
            <w:pPr>
              <w:jc w:val="both"/>
              <w:rPr>
                <w:b/>
                <w:bCs/>
              </w:rPr>
            </w:pPr>
          </w:p>
          <w:p w14:paraId="386A660E" w14:textId="4F9357E4" w:rsidR="00A30FE5" w:rsidRDefault="00A30FE5" w:rsidP="00935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Udtalelse fra EBA </w:t>
            </w:r>
            <w:r w:rsidR="008B7A99" w:rsidRPr="008B7A99">
              <w:rPr>
                <w:b/>
                <w:bCs/>
              </w:rPr>
              <w:t>om risici for hvidvask af penge og finansiering af terrorisme</w:t>
            </w:r>
            <w:r w:rsidR="008B7A99">
              <w:rPr>
                <w:b/>
                <w:bCs/>
              </w:rPr>
              <w:t xml:space="preserve"> på sektorniveau</w:t>
            </w:r>
            <w:r w:rsidR="001465D3">
              <w:rPr>
                <w:b/>
                <w:bCs/>
              </w:rPr>
              <w:t xml:space="preserve"> </w:t>
            </w:r>
            <w:hyperlink w:anchor="tredje" w:history="1">
              <w:r w:rsidR="001465D3" w:rsidRPr="001465D3">
                <w:rPr>
                  <w:rStyle w:val="Hyperlink"/>
                  <w:b/>
                  <w:bCs/>
                </w:rPr>
                <w:t>link</w:t>
              </w:r>
            </w:hyperlink>
          </w:p>
          <w:p w14:paraId="4BBC87E6" w14:textId="77777777" w:rsidR="006D3FFF" w:rsidRDefault="006D3FFF" w:rsidP="00935A29">
            <w:pPr>
              <w:jc w:val="both"/>
              <w:rPr>
                <w:b/>
                <w:bCs/>
              </w:rPr>
            </w:pPr>
          </w:p>
          <w:p w14:paraId="6128BEAE" w14:textId="56C29908" w:rsidR="006D3FFF" w:rsidRDefault="006D3FFF" w:rsidP="00935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Vejledning fra EBA om </w:t>
            </w:r>
            <w:r w:rsidR="007F383A">
              <w:rPr>
                <w:b/>
                <w:bCs/>
              </w:rPr>
              <w:t>genopretningsplanlægning under BRRD</w:t>
            </w:r>
            <w:r w:rsidR="002F122D">
              <w:rPr>
                <w:b/>
                <w:bCs/>
              </w:rPr>
              <w:t xml:space="preserve"> </w:t>
            </w:r>
            <w:hyperlink w:anchor="fjerde" w:history="1">
              <w:r w:rsidR="002F122D" w:rsidRPr="002F122D">
                <w:rPr>
                  <w:rStyle w:val="Hyperlink"/>
                  <w:b/>
                  <w:bCs/>
                </w:rPr>
                <w:t>link</w:t>
              </w:r>
            </w:hyperlink>
          </w:p>
          <w:p w14:paraId="268C7EEB" w14:textId="77777777" w:rsidR="00423688" w:rsidRDefault="00423688" w:rsidP="00935A29">
            <w:pPr>
              <w:jc w:val="both"/>
              <w:rPr>
                <w:b/>
                <w:bCs/>
              </w:rPr>
            </w:pPr>
          </w:p>
          <w:p w14:paraId="1C5D9031" w14:textId="5C621D59" w:rsidR="007F383A" w:rsidRDefault="007F383A" w:rsidP="00935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Vejledning fra ESMA om efterhandelsgennemsigtighed </w:t>
            </w:r>
            <w:r w:rsidR="00E93E02">
              <w:rPr>
                <w:b/>
                <w:bCs/>
              </w:rPr>
              <w:t>under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MiFIR</w:t>
            </w:r>
            <w:proofErr w:type="spellEnd"/>
            <w:r w:rsidR="002F122D">
              <w:rPr>
                <w:b/>
                <w:bCs/>
              </w:rPr>
              <w:t xml:space="preserve"> </w:t>
            </w:r>
            <w:hyperlink w:anchor="femte" w:history="1">
              <w:r w:rsidR="002F122D" w:rsidRPr="002F122D">
                <w:rPr>
                  <w:rStyle w:val="Hyperlink"/>
                  <w:b/>
                  <w:bCs/>
                </w:rPr>
                <w:t>link</w:t>
              </w:r>
            </w:hyperlink>
          </w:p>
          <w:p w14:paraId="39E68EFD" w14:textId="77777777" w:rsidR="007F383A" w:rsidRDefault="007F383A" w:rsidP="00935A29">
            <w:pPr>
              <w:jc w:val="both"/>
              <w:rPr>
                <w:b/>
                <w:bCs/>
              </w:rPr>
            </w:pPr>
          </w:p>
          <w:p w14:paraId="21710E91" w14:textId="7ADA6C9D" w:rsidR="007F383A" w:rsidRDefault="00E93E02" w:rsidP="00935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Vejledning fra ESMA om rådgivning </w:t>
            </w:r>
            <w:r w:rsidR="00D4586B">
              <w:rPr>
                <w:b/>
                <w:bCs/>
              </w:rPr>
              <w:t xml:space="preserve">omfattet af </w:t>
            </w:r>
            <w:proofErr w:type="spellStart"/>
            <w:r>
              <w:rPr>
                <w:b/>
                <w:bCs/>
              </w:rPr>
              <w:t>MiFID</w:t>
            </w:r>
            <w:proofErr w:type="spellEnd"/>
            <w:r>
              <w:rPr>
                <w:b/>
                <w:bCs/>
              </w:rPr>
              <w:t xml:space="preserve"> II</w:t>
            </w:r>
            <w:r w:rsidR="00632F48">
              <w:rPr>
                <w:b/>
                <w:bCs/>
              </w:rPr>
              <w:t xml:space="preserve"> </w:t>
            </w:r>
            <w:hyperlink w:anchor="sjette" w:history="1">
              <w:r w:rsidR="00632F48" w:rsidRPr="00632F48">
                <w:rPr>
                  <w:rStyle w:val="Hyperlink"/>
                  <w:b/>
                  <w:bCs/>
                </w:rPr>
                <w:t>link</w:t>
              </w:r>
            </w:hyperlink>
          </w:p>
          <w:p w14:paraId="591C7EA2" w14:textId="77777777" w:rsidR="00AD7812" w:rsidRDefault="00AD7812" w:rsidP="00935A29">
            <w:pPr>
              <w:jc w:val="both"/>
              <w:rPr>
                <w:b/>
                <w:bCs/>
              </w:rPr>
            </w:pPr>
          </w:p>
          <w:p w14:paraId="010A54F6" w14:textId="211DAE4B" w:rsidR="00AD7812" w:rsidRDefault="00AD7812" w:rsidP="00935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Erklæring fra ESMA om værdipapirudlån </w:t>
            </w:r>
            <w:r w:rsidR="006A1ADB">
              <w:rPr>
                <w:b/>
                <w:bCs/>
              </w:rPr>
              <w:t>i relation til detailkunder</w:t>
            </w:r>
            <w:r w:rsidR="00632F48">
              <w:rPr>
                <w:b/>
                <w:bCs/>
              </w:rPr>
              <w:t xml:space="preserve"> </w:t>
            </w:r>
            <w:hyperlink w:anchor="syvende" w:history="1">
              <w:r w:rsidR="00062C72" w:rsidRPr="00062C72">
                <w:rPr>
                  <w:rStyle w:val="Hyperlink"/>
                  <w:b/>
                  <w:bCs/>
                </w:rPr>
                <w:t>li</w:t>
              </w:r>
              <w:r w:rsidR="00062C72" w:rsidRPr="00062C72">
                <w:rPr>
                  <w:rStyle w:val="Hyperlink"/>
                  <w:b/>
                  <w:bCs/>
                </w:rPr>
                <w:t>n</w:t>
              </w:r>
              <w:r w:rsidR="00062C72" w:rsidRPr="00062C72">
                <w:rPr>
                  <w:rStyle w:val="Hyperlink"/>
                  <w:b/>
                  <w:bCs/>
                </w:rPr>
                <w:t>k</w:t>
              </w:r>
            </w:hyperlink>
          </w:p>
          <w:p w14:paraId="266C2652" w14:textId="77777777" w:rsidR="007F383A" w:rsidRPr="002548F7" w:rsidRDefault="007F383A" w:rsidP="00935A29">
            <w:pPr>
              <w:jc w:val="both"/>
              <w:rPr>
                <w:b/>
                <w:bCs/>
              </w:rPr>
            </w:pPr>
          </w:p>
        </w:tc>
      </w:tr>
      <w:tr w:rsidR="002548F7" w:rsidRPr="002548F7" w14:paraId="2A1EB4C2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65AC9D62" w14:textId="77777777" w:rsidR="002548F7" w:rsidRPr="002548F7" w:rsidRDefault="002548F7" w:rsidP="00935A29">
            <w:pPr>
              <w:jc w:val="both"/>
              <w:rPr>
                <w:b/>
                <w:bCs/>
              </w:rPr>
            </w:pPr>
            <w:r w:rsidRPr="002548F7">
              <w:rPr>
                <w:b/>
                <w:bCs/>
              </w:rPr>
              <w:t xml:space="preserve">1. DANSK REGULERING </w:t>
            </w:r>
          </w:p>
        </w:tc>
      </w:tr>
      <w:tr w:rsidR="002548F7" w:rsidRPr="002548F7" w14:paraId="3B3B6685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77094F7D" w14:textId="77777777" w:rsidR="002548F7" w:rsidRPr="002548F7" w:rsidRDefault="002548F7" w:rsidP="00935A29">
            <w:pPr>
              <w:jc w:val="both"/>
              <w:rPr>
                <w:b/>
                <w:bCs/>
              </w:rPr>
            </w:pPr>
            <w:r w:rsidRPr="002548F7">
              <w:rPr>
                <w:b/>
                <w:bCs/>
              </w:rPr>
              <w:t xml:space="preserve">1.1. Love </w:t>
            </w:r>
          </w:p>
        </w:tc>
      </w:tr>
      <w:tr w:rsidR="00746BB9" w:rsidRPr="002548F7" w14:paraId="05619863" w14:textId="77777777" w:rsidTr="00746BB9">
        <w:tc>
          <w:tcPr>
            <w:tcW w:w="0" w:type="auto"/>
            <w:shd w:val="clear" w:color="auto" w:fill="auto"/>
          </w:tcPr>
          <w:p w14:paraId="362EBAF7" w14:textId="77777777" w:rsidR="00E76156" w:rsidRDefault="00E76156" w:rsidP="00935A29">
            <w:pPr>
              <w:jc w:val="both"/>
            </w:pPr>
          </w:p>
          <w:p w14:paraId="7B5B6B3C" w14:textId="1E472F13" w:rsidR="00746BB9" w:rsidRDefault="00631A0F" w:rsidP="00935A29">
            <w:pPr>
              <w:jc w:val="both"/>
            </w:pPr>
            <w:r w:rsidRPr="00631A0F">
              <w:t>(</w:t>
            </w:r>
            <w:r w:rsidR="00865951">
              <w:t>I</w:t>
            </w:r>
            <w:r w:rsidRPr="00631A0F">
              <w:t>ntet nyt)</w:t>
            </w:r>
          </w:p>
          <w:p w14:paraId="7D42C3E1" w14:textId="72654E1E" w:rsidR="00631A0F" w:rsidRPr="00631A0F" w:rsidRDefault="00631A0F" w:rsidP="00935A29">
            <w:pPr>
              <w:jc w:val="both"/>
            </w:pPr>
          </w:p>
        </w:tc>
      </w:tr>
      <w:tr w:rsidR="002548F7" w:rsidRPr="002548F7" w14:paraId="4026C965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5291D860" w14:textId="0F9297C3" w:rsidR="002548F7" w:rsidRPr="00A81D50" w:rsidRDefault="002548F7" w:rsidP="00A81D50">
            <w:pPr>
              <w:pStyle w:val="Listeafsnit"/>
              <w:numPr>
                <w:ilvl w:val="1"/>
                <w:numId w:val="15"/>
              </w:numPr>
              <w:jc w:val="both"/>
              <w:rPr>
                <w:b/>
                <w:bCs/>
              </w:rPr>
            </w:pPr>
            <w:r w:rsidRPr="00A81D50">
              <w:rPr>
                <w:b/>
                <w:bCs/>
              </w:rPr>
              <w:t>Bekendtgørelser</w:t>
            </w:r>
            <w:r w:rsidR="00EE4BF7" w:rsidRPr="00A81D50">
              <w:rPr>
                <w:b/>
                <w:bCs/>
              </w:rPr>
              <w:t xml:space="preserve"> m.v.</w:t>
            </w:r>
            <w:r w:rsidRPr="00A81D50">
              <w:rPr>
                <w:b/>
                <w:bCs/>
              </w:rPr>
              <w:t xml:space="preserve"> </w:t>
            </w:r>
          </w:p>
        </w:tc>
      </w:tr>
      <w:tr w:rsidR="002548F7" w:rsidRPr="002548F7" w14:paraId="1316B562" w14:textId="77777777" w:rsidTr="00F3100C">
        <w:trPr>
          <w:trHeight w:val="547"/>
        </w:trPr>
        <w:tc>
          <w:tcPr>
            <w:tcW w:w="0" w:type="auto"/>
            <w:tcBorders>
              <w:bottom w:val="single" w:sz="4" w:space="0" w:color="auto"/>
            </w:tcBorders>
          </w:tcPr>
          <w:p w14:paraId="190B10DB" w14:textId="77777777" w:rsidR="00A35727" w:rsidRDefault="00A35727" w:rsidP="007041EF">
            <w:pPr>
              <w:jc w:val="both"/>
              <w:rPr>
                <w:b/>
                <w:bCs/>
              </w:rPr>
            </w:pPr>
          </w:p>
          <w:p w14:paraId="48CBC512" w14:textId="2C822D28" w:rsidR="007041EF" w:rsidRPr="007041EF" w:rsidRDefault="007041EF" w:rsidP="007041EF">
            <w:pPr>
              <w:jc w:val="both"/>
              <w:rPr>
                <w:b/>
                <w:bCs/>
              </w:rPr>
            </w:pPr>
            <w:r w:rsidRPr="007041EF">
              <w:rPr>
                <w:b/>
                <w:bCs/>
              </w:rPr>
              <w:t>N</w:t>
            </w:r>
            <w:bookmarkStart w:id="0" w:name="første"/>
            <w:r w:rsidRPr="007041EF">
              <w:rPr>
                <w:b/>
                <w:bCs/>
              </w:rPr>
              <w:t>y praksis for tilladelse til koncerninterne eksponeringer for fondsmæglerselskaber</w:t>
            </w:r>
            <w:bookmarkEnd w:id="0"/>
          </w:p>
          <w:p w14:paraId="4854BBB6" w14:textId="0874B729" w:rsidR="004A6E94" w:rsidRPr="007041EF" w:rsidRDefault="007041EF" w:rsidP="004A6E94">
            <w:pPr>
              <w:jc w:val="both"/>
            </w:pPr>
            <w:r w:rsidRPr="007041EF">
              <w:t>Finanstilsynets</w:t>
            </w:r>
            <w:r w:rsidR="00865951">
              <w:t xml:space="preserve"> har beskrevet</w:t>
            </w:r>
            <w:r w:rsidRPr="007041EF">
              <w:t xml:space="preserve"> sin nye praksis for tilladelse til koncerninterne eksponeringer for fondsmæglerselskaber, der give</w:t>
            </w:r>
            <w:r w:rsidR="00865951">
              <w:t>s</w:t>
            </w:r>
            <w:r w:rsidRPr="007041EF">
              <w:t xml:space="preserve"> mulighed for at </w:t>
            </w:r>
            <w:r w:rsidR="0058105F">
              <w:t>modtage</w:t>
            </w:r>
            <w:r w:rsidRPr="007041EF">
              <w:t xml:space="preserve"> tilladelser udover et år for visse eksponeringer</w:t>
            </w:r>
            <w:r w:rsidR="00722BF5">
              <w:t xml:space="preserve">. Der kan </w:t>
            </w:r>
            <w:r w:rsidR="004A6E94">
              <w:t>herunder</w:t>
            </w:r>
            <w:r w:rsidR="00722BF5">
              <w:t xml:space="preserve"> være tale om</w:t>
            </w:r>
            <w:r w:rsidR="0043406D">
              <w:t xml:space="preserve"> længere tilladelser </w:t>
            </w:r>
            <w:r w:rsidR="000F581C">
              <w:t>i forhold til</w:t>
            </w:r>
            <w:r w:rsidR="00722BF5">
              <w:t xml:space="preserve"> </w:t>
            </w:r>
            <w:r w:rsidR="00292196">
              <w:t>o</w:t>
            </w:r>
            <w:r w:rsidR="00722BF5">
              <w:t>mkostningsudlæg</w:t>
            </w:r>
            <w:r w:rsidR="00292196">
              <w:t xml:space="preserve"> til</w:t>
            </w:r>
            <w:r w:rsidR="00722BF5">
              <w:t xml:space="preserve"> dobbeltansatte</w:t>
            </w:r>
            <w:r w:rsidR="00292196">
              <w:t>, s</w:t>
            </w:r>
            <w:r w:rsidR="00722BF5">
              <w:t>ambeskatning</w:t>
            </w:r>
            <w:r w:rsidR="00292196">
              <w:t xml:space="preserve"> og kunde</w:t>
            </w:r>
            <w:r w:rsidR="00722BF5">
              <w:t>skabt indtjening</w:t>
            </w:r>
            <w:r w:rsidR="004A6E94">
              <w:t>.</w:t>
            </w:r>
          </w:p>
          <w:p w14:paraId="4C541B0E" w14:textId="185AB516" w:rsidR="007041EF" w:rsidRPr="007041EF" w:rsidRDefault="0043406D" w:rsidP="00722BF5">
            <w:pPr>
              <w:jc w:val="both"/>
            </w:pPr>
            <w:r>
              <w:t>O</w:t>
            </w:r>
            <w:r w:rsidR="007041EF" w:rsidRPr="007041EF">
              <w:t xml:space="preserve">ffentliggjort den 30. juni 2023, </w:t>
            </w:r>
            <w:hyperlink r:id="rId8" w:history="1">
              <w:r w:rsidR="007041EF" w:rsidRPr="007041EF">
                <w:rPr>
                  <w:rStyle w:val="Hyperlink"/>
                </w:rPr>
                <w:t>lin</w:t>
              </w:r>
              <w:r w:rsidR="007041EF" w:rsidRPr="007041EF">
                <w:rPr>
                  <w:rStyle w:val="Hyperlink"/>
                </w:rPr>
                <w:t>k</w:t>
              </w:r>
            </w:hyperlink>
            <w:r w:rsidR="007041EF" w:rsidRPr="007041EF">
              <w:t>.</w:t>
            </w:r>
          </w:p>
          <w:p w14:paraId="2B08FE76" w14:textId="2F6B7748" w:rsidR="002519CB" w:rsidRPr="002548F7" w:rsidRDefault="002519CB" w:rsidP="00EF77D4">
            <w:pPr>
              <w:jc w:val="both"/>
            </w:pPr>
          </w:p>
        </w:tc>
      </w:tr>
      <w:tr w:rsidR="002548F7" w:rsidRPr="002548F7" w14:paraId="4BE188BF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0789C89B" w14:textId="77777777" w:rsidR="002548F7" w:rsidRPr="002548F7" w:rsidRDefault="002548F7" w:rsidP="00935A29">
            <w:pPr>
              <w:jc w:val="both"/>
              <w:rPr>
                <w:b/>
                <w:bCs/>
              </w:rPr>
            </w:pPr>
            <w:r w:rsidRPr="002548F7">
              <w:rPr>
                <w:b/>
                <w:bCs/>
              </w:rPr>
              <w:t>2. EU-REGULERING (forordninger)</w:t>
            </w:r>
          </w:p>
        </w:tc>
      </w:tr>
      <w:tr w:rsidR="002548F7" w:rsidRPr="002548F7" w14:paraId="2FA393B7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2647E832" w14:textId="77777777" w:rsidR="002548F7" w:rsidRPr="002548F7" w:rsidRDefault="002548F7" w:rsidP="00935A29">
            <w:pPr>
              <w:pStyle w:val="Listeafsnit"/>
              <w:numPr>
                <w:ilvl w:val="1"/>
                <w:numId w:val="12"/>
              </w:numPr>
              <w:jc w:val="both"/>
              <w:rPr>
                <w:b/>
                <w:bCs/>
              </w:rPr>
            </w:pPr>
            <w:r w:rsidRPr="002548F7">
              <w:rPr>
                <w:b/>
                <w:bCs/>
              </w:rPr>
              <w:t>Niveau 1</w:t>
            </w:r>
          </w:p>
        </w:tc>
      </w:tr>
      <w:tr w:rsidR="002548F7" w:rsidRPr="002548F7" w14:paraId="4B111497" w14:textId="77777777" w:rsidTr="00F3100C">
        <w:trPr>
          <w:trHeight w:val="547"/>
        </w:trPr>
        <w:tc>
          <w:tcPr>
            <w:tcW w:w="0" w:type="auto"/>
            <w:tcBorders>
              <w:bottom w:val="single" w:sz="4" w:space="0" w:color="auto"/>
            </w:tcBorders>
          </w:tcPr>
          <w:p w14:paraId="12B9EC98" w14:textId="77777777" w:rsidR="00865951" w:rsidRDefault="00865951" w:rsidP="00935A29">
            <w:pPr>
              <w:jc w:val="both"/>
            </w:pPr>
          </w:p>
          <w:p w14:paraId="48D86B42" w14:textId="77777777" w:rsidR="002548F7" w:rsidRDefault="002548F7" w:rsidP="00935A29">
            <w:pPr>
              <w:jc w:val="both"/>
            </w:pPr>
            <w:r w:rsidRPr="002548F7">
              <w:t>(Intet nyt)</w:t>
            </w:r>
          </w:p>
          <w:p w14:paraId="3166AD3F" w14:textId="00A345D0" w:rsidR="00865951" w:rsidRPr="002548F7" w:rsidRDefault="00865951" w:rsidP="00935A29">
            <w:pPr>
              <w:jc w:val="both"/>
            </w:pPr>
          </w:p>
        </w:tc>
      </w:tr>
      <w:tr w:rsidR="002548F7" w:rsidRPr="002548F7" w14:paraId="58085F03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4182F546" w14:textId="27B183ED" w:rsidR="002548F7" w:rsidRPr="002548F7" w:rsidRDefault="002548F7" w:rsidP="00935A29">
            <w:pPr>
              <w:pStyle w:val="Listeafsnit"/>
              <w:numPr>
                <w:ilvl w:val="1"/>
                <w:numId w:val="12"/>
              </w:numPr>
              <w:jc w:val="both"/>
              <w:rPr>
                <w:b/>
                <w:bCs/>
              </w:rPr>
            </w:pPr>
            <w:r w:rsidRPr="002548F7">
              <w:rPr>
                <w:b/>
                <w:bCs/>
              </w:rPr>
              <w:t>Niveau 2</w:t>
            </w:r>
            <w:r w:rsidR="00DE53DD">
              <w:rPr>
                <w:b/>
                <w:bCs/>
              </w:rPr>
              <w:t xml:space="preserve"> (forordninger)</w:t>
            </w:r>
          </w:p>
        </w:tc>
      </w:tr>
      <w:tr w:rsidR="002548F7" w:rsidRPr="002548F7" w14:paraId="16C90636" w14:textId="77777777" w:rsidTr="00F3100C">
        <w:trPr>
          <w:trHeight w:val="547"/>
        </w:trPr>
        <w:tc>
          <w:tcPr>
            <w:tcW w:w="0" w:type="auto"/>
            <w:tcBorders>
              <w:bottom w:val="single" w:sz="4" w:space="0" w:color="auto"/>
            </w:tcBorders>
          </w:tcPr>
          <w:p w14:paraId="2339FCC0" w14:textId="77777777" w:rsidR="00865951" w:rsidRDefault="00865951" w:rsidP="00935A29">
            <w:pPr>
              <w:jc w:val="both"/>
            </w:pPr>
          </w:p>
          <w:p w14:paraId="1CCEF252" w14:textId="77777777" w:rsidR="002548F7" w:rsidRDefault="00D14F6D" w:rsidP="00935A29">
            <w:pPr>
              <w:jc w:val="both"/>
            </w:pPr>
            <w:r>
              <w:t>(</w:t>
            </w:r>
            <w:r w:rsidR="002548F7" w:rsidRPr="002548F7">
              <w:t>Intet nyt</w:t>
            </w:r>
            <w:r>
              <w:t>)</w:t>
            </w:r>
          </w:p>
          <w:p w14:paraId="5431D519" w14:textId="2BE5A00E" w:rsidR="00865951" w:rsidRPr="002548F7" w:rsidRDefault="00865951" w:rsidP="00935A29">
            <w:pPr>
              <w:jc w:val="both"/>
            </w:pPr>
          </w:p>
        </w:tc>
      </w:tr>
      <w:tr w:rsidR="002548F7" w:rsidRPr="002548F7" w14:paraId="298044E3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75C1DE76" w14:textId="7CC9DF00" w:rsidR="002548F7" w:rsidRPr="00170936" w:rsidRDefault="00170936" w:rsidP="001709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2548F7" w:rsidRPr="00170936">
              <w:rPr>
                <w:b/>
                <w:bCs/>
              </w:rPr>
              <w:t xml:space="preserve">RETNINGSLINJER </w:t>
            </w:r>
            <w:r w:rsidR="000305AC">
              <w:rPr>
                <w:b/>
                <w:bCs/>
              </w:rPr>
              <w:t xml:space="preserve">M.V. </w:t>
            </w:r>
            <w:r w:rsidR="002548F7" w:rsidRPr="00170936">
              <w:rPr>
                <w:b/>
                <w:bCs/>
              </w:rPr>
              <w:t>FRA ESA’ERNE</w:t>
            </w:r>
          </w:p>
        </w:tc>
      </w:tr>
      <w:tr w:rsidR="002548F7" w:rsidRPr="002548F7" w14:paraId="716D297E" w14:textId="77777777" w:rsidTr="00F3100C">
        <w:tc>
          <w:tcPr>
            <w:tcW w:w="0" w:type="auto"/>
            <w:shd w:val="clear" w:color="auto" w:fill="D9D9D9" w:themeFill="background1" w:themeFillShade="D9"/>
          </w:tcPr>
          <w:p w14:paraId="38DF8139" w14:textId="5E45E5F2" w:rsidR="002548F7" w:rsidRPr="00170936" w:rsidRDefault="002548F7" w:rsidP="00170936">
            <w:pPr>
              <w:pStyle w:val="Listeafsnit"/>
              <w:numPr>
                <w:ilvl w:val="1"/>
                <w:numId w:val="14"/>
              </w:numPr>
              <w:jc w:val="both"/>
              <w:rPr>
                <w:b/>
                <w:bCs/>
              </w:rPr>
            </w:pPr>
            <w:r w:rsidRPr="00170936">
              <w:rPr>
                <w:b/>
                <w:bCs/>
              </w:rPr>
              <w:t>EBA</w:t>
            </w:r>
          </w:p>
        </w:tc>
      </w:tr>
      <w:tr w:rsidR="00A543B3" w:rsidRPr="002548F7" w14:paraId="6A038258" w14:textId="77777777" w:rsidTr="00A543B3">
        <w:trPr>
          <w:trHeight w:val="54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91ED3D" w14:textId="77777777" w:rsidR="006F7384" w:rsidRDefault="006F7384" w:rsidP="00CD5A45">
            <w:pPr>
              <w:jc w:val="both"/>
              <w:rPr>
                <w:b/>
                <w:lang w:val="da"/>
              </w:rPr>
            </w:pPr>
          </w:p>
          <w:p w14:paraId="316A2556" w14:textId="2786059C" w:rsidR="00CD5A45" w:rsidRPr="00CD5A45" w:rsidRDefault="00CD5A45" w:rsidP="00CD5A45">
            <w:pPr>
              <w:jc w:val="both"/>
              <w:rPr>
                <w:b/>
                <w:bCs/>
              </w:rPr>
            </w:pPr>
            <w:bookmarkStart w:id="1" w:name="andet"/>
            <w:r w:rsidRPr="00CD5A45">
              <w:rPr>
                <w:b/>
                <w:lang w:val="da"/>
              </w:rPr>
              <w:t xml:space="preserve">EBA tilskynder til rettidige forberedende skridt hen imod anvendelsen af </w:t>
            </w:r>
            <w:proofErr w:type="spellStart"/>
            <w:r w:rsidRPr="00CD5A45">
              <w:rPr>
                <w:b/>
                <w:lang w:val="da"/>
              </w:rPr>
              <w:t>MiCAR</w:t>
            </w:r>
            <w:proofErr w:type="spellEnd"/>
            <w:r w:rsidRPr="00CD5A45">
              <w:rPr>
                <w:b/>
                <w:lang w:val="da"/>
              </w:rPr>
              <w:t xml:space="preserve"> på aktivbaserede </w:t>
            </w:r>
            <w:proofErr w:type="spellStart"/>
            <w:r w:rsidRPr="00CD5A45">
              <w:rPr>
                <w:b/>
                <w:lang w:val="da"/>
              </w:rPr>
              <w:t>tokens</w:t>
            </w:r>
            <w:proofErr w:type="spellEnd"/>
            <w:r w:rsidRPr="00CD5A45">
              <w:rPr>
                <w:b/>
                <w:lang w:val="da"/>
              </w:rPr>
              <w:t xml:space="preserve"> og elektroniske </w:t>
            </w:r>
            <w:proofErr w:type="spellStart"/>
            <w:r w:rsidRPr="00CD5A45">
              <w:rPr>
                <w:b/>
                <w:lang w:val="da"/>
              </w:rPr>
              <w:t>pengetokens</w:t>
            </w:r>
            <w:proofErr w:type="spellEnd"/>
          </w:p>
          <w:bookmarkEnd w:id="1"/>
          <w:p w14:paraId="50272DA2" w14:textId="3A7F0D3F" w:rsidR="00CD5A45" w:rsidRPr="00CD5A45" w:rsidRDefault="00CD5A45" w:rsidP="00CD5A45">
            <w:pPr>
              <w:jc w:val="both"/>
            </w:pPr>
            <w:r w:rsidRPr="00CD5A45">
              <w:rPr>
                <w:lang w:val="da"/>
              </w:rPr>
              <w:t xml:space="preserve">EBA har offentliggjort en erklæring rettet virksomheder, der har til hensigt at påbegynde eller har påbegyndt </w:t>
            </w:r>
            <w:r w:rsidR="00A13808">
              <w:rPr>
                <w:lang w:val="da"/>
              </w:rPr>
              <w:t xml:space="preserve">aktiviteter med </w:t>
            </w:r>
            <w:r w:rsidRPr="00CD5A45">
              <w:rPr>
                <w:lang w:val="da"/>
              </w:rPr>
              <w:t xml:space="preserve">aktivbaserede </w:t>
            </w:r>
            <w:proofErr w:type="spellStart"/>
            <w:r w:rsidRPr="00CD5A45">
              <w:rPr>
                <w:lang w:val="da"/>
              </w:rPr>
              <w:t>token</w:t>
            </w:r>
            <w:r w:rsidR="00A13808">
              <w:rPr>
                <w:lang w:val="da"/>
              </w:rPr>
              <w:t>s</w:t>
            </w:r>
            <w:proofErr w:type="spellEnd"/>
            <w:r w:rsidRPr="00CD5A45">
              <w:rPr>
                <w:lang w:val="da"/>
              </w:rPr>
              <w:t xml:space="preserve"> eller elektroniske </w:t>
            </w:r>
            <w:proofErr w:type="spellStart"/>
            <w:r w:rsidRPr="00CD5A45">
              <w:rPr>
                <w:lang w:val="da"/>
              </w:rPr>
              <w:t>pengetoken</w:t>
            </w:r>
            <w:r w:rsidR="00A13808">
              <w:rPr>
                <w:lang w:val="da"/>
              </w:rPr>
              <w:t>s</w:t>
            </w:r>
            <w:proofErr w:type="spellEnd"/>
            <w:r w:rsidRPr="00CD5A45">
              <w:rPr>
                <w:lang w:val="da"/>
              </w:rPr>
              <w:t xml:space="preserve"> inden den 30. juni 2024, samt til de kompetente myndigheder. Erklæringen </w:t>
            </w:r>
            <w:r w:rsidR="00683D73">
              <w:rPr>
                <w:lang w:val="da"/>
              </w:rPr>
              <w:t xml:space="preserve">skal </w:t>
            </w:r>
            <w:r w:rsidRPr="00CD5A45">
              <w:rPr>
                <w:lang w:val="da"/>
              </w:rPr>
              <w:t xml:space="preserve">tilskynde til forberedende foranstaltninger til </w:t>
            </w:r>
            <w:r w:rsidR="001362C8">
              <w:rPr>
                <w:lang w:val="da"/>
              </w:rPr>
              <w:t xml:space="preserve">anvendelsen af </w:t>
            </w:r>
            <w:proofErr w:type="spellStart"/>
            <w:r w:rsidRPr="00CD5A45">
              <w:rPr>
                <w:lang w:val="da"/>
              </w:rPr>
              <w:t>MiCAR</w:t>
            </w:r>
            <w:proofErr w:type="spellEnd"/>
            <w:r w:rsidRPr="00CD5A45">
              <w:rPr>
                <w:lang w:val="da"/>
              </w:rPr>
              <w:t xml:space="preserve">. </w:t>
            </w:r>
          </w:p>
          <w:p w14:paraId="1320C656" w14:textId="293E7A67" w:rsidR="00E76156" w:rsidRDefault="00CD5A45" w:rsidP="00CD5A45">
            <w:pPr>
              <w:jc w:val="both"/>
              <w:rPr>
                <w:lang w:val="da"/>
              </w:rPr>
            </w:pPr>
            <w:r w:rsidRPr="00CD5A45">
              <w:rPr>
                <w:lang w:val="da"/>
              </w:rPr>
              <w:t xml:space="preserve">Erklæringen indeholder ”vejledende principper”, som virksomhederne opfordres til at tage hensyn til indtil ansøgningsdatoen, samt en skabelon, som virksomhederne </w:t>
            </w:r>
            <w:r w:rsidR="009318DA">
              <w:rPr>
                <w:lang w:val="da"/>
              </w:rPr>
              <w:t xml:space="preserve">kan anvende til at </w:t>
            </w:r>
            <w:r w:rsidR="002C523C">
              <w:rPr>
                <w:lang w:val="da"/>
              </w:rPr>
              <w:t>indsende</w:t>
            </w:r>
            <w:r w:rsidR="009318DA">
              <w:rPr>
                <w:lang w:val="da"/>
              </w:rPr>
              <w:t xml:space="preserve"> oplysninger</w:t>
            </w:r>
            <w:r w:rsidR="002C523C">
              <w:rPr>
                <w:lang w:val="da"/>
              </w:rPr>
              <w:t xml:space="preserve"> til</w:t>
            </w:r>
            <w:r w:rsidRPr="00CD5A45">
              <w:rPr>
                <w:lang w:val="da"/>
              </w:rPr>
              <w:t xml:space="preserve"> de</w:t>
            </w:r>
            <w:r w:rsidR="0008676D">
              <w:rPr>
                <w:lang w:val="da"/>
              </w:rPr>
              <w:t>res</w:t>
            </w:r>
            <w:r w:rsidRPr="00CD5A45">
              <w:rPr>
                <w:lang w:val="da"/>
              </w:rPr>
              <w:t xml:space="preserve"> </w:t>
            </w:r>
            <w:r w:rsidR="0008676D">
              <w:rPr>
                <w:lang w:val="da"/>
              </w:rPr>
              <w:t xml:space="preserve">nationale </w:t>
            </w:r>
            <w:r w:rsidRPr="00CD5A45">
              <w:rPr>
                <w:lang w:val="da"/>
              </w:rPr>
              <w:t>kompetente myndighed</w:t>
            </w:r>
            <w:r w:rsidR="00E76156">
              <w:rPr>
                <w:lang w:val="da"/>
              </w:rPr>
              <w:t>.</w:t>
            </w:r>
            <w:r w:rsidRPr="00CD5A45">
              <w:rPr>
                <w:lang w:val="da"/>
              </w:rPr>
              <w:t xml:space="preserve"> </w:t>
            </w:r>
          </w:p>
          <w:p w14:paraId="0A0E6E15" w14:textId="700F9DFE" w:rsidR="00CD5A45" w:rsidRPr="00CD5A45" w:rsidRDefault="00E76156" w:rsidP="00CD5A45">
            <w:pPr>
              <w:jc w:val="both"/>
            </w:pPr>
            <w:r>
              <w:t>O</w:t>
            </w:r>
            <w:r w:rsidR="00CD5A45" w:rsidRPr="00CD5A45">
              <w:t xml:space="preserve">ffentliggjort den 12. juli 2023, </w:t>
            </w:r>
            <w:hyperlink r:id="rId9" w:history="1">
              <w:r w:rsidR="00CD5A45" w:rsidRPr="00CD5A45">
                <w:rPr>
                  <w:rStyle w:val="Hyperlink"/>
                </w:rPr>
                <w:t>lin</w:t>
              </w:r>
              <w:r w:rsidR="00CD5A45" w:rsidRPr="00CD5A45">
                <w:rPr>
                  <w:rStyle w:val="Hyperlink"/>
                </w:rPr>
                <w:t>k</w:t>
              </w:r>
            </w:hyperlink>
            <w:r w:rsidR="00CD5A45" w:rsidRPr="00CD5A45">
              <w:t>.</w:t>
            </w:r>
          </w:p>
          <w:p w14:paraId="66A1C104" w14:textId="77777777" w:rsidR="00CD5A45" w:rsidRPr="00CD5A45" w:rsidRDefault="00CD5A45" w:rsidP="00CD5A45">
            <w:pPr>
              <w:jc w:val="both"/>
            </w:pPr>
          </w:p>
          <w:p w14:paraId="6676A8CB" w14:textId="77777777" w:rsidR="00CD5A45" w:rsidRPr="00CD5A45" w:rsidRDefault="00CD5A45" w:rsidP="00CD5A45">
            <w:pPr>
              <w:jc w:val="both"/>
              <w:rPr>
                <w:b/>
                <w:bCs/>
              </w:rPr>
            </w:pPr>
            <w:bookmarkStart w:id="2" w:name="tredje"/>
            <w:r w:rsidRPr="00CD5A45">
              <w:rPr>
                <w:b/>
                <w:bCs/>
              </w:rPr>
              <w:t>EBA offentliggør fjerde udtalelse om risici for hvidvask af penge og finansiering af terrorisme i hele EU</w:t>
            </w:r>
          </w:p>
          <w:bookmarkEnd w:id="2"/>
          <w:p w14:paraId="72820AF1" w14:textId="77777777" w:rsidR="008E2B40" w:rsidRDefault="00CD5A45" w:rsidP="00CD5A45">
            <w:pPr>
              <w:jc w:val="both"/>
            </w:pPr>
            <w:r w:rsidRPr="00CD5A45">
              <w:t>EBA har offentliggjort en ny udtalelse om de risici for hvidvask af penge og finansiering af terrorisme, der påvirker EU’s finansielle sektor. Udtalelsen offentliggøres hvert andet år</w:t>
            </w:r>
            <w:r w:rsidR="008E2B40">
              <w:t>.</w:t>
            </w:r>
          </w:p>
          <w:p w14:paraId="469E4453" w14:textId="42479BBD" w:rsidR="00760A0B" w:rsidRDefault="007F7932" w:rsidP="00CD5A45">
            <w:pPr>
              <w:jc w:val="both"/>
            </w:pPr>
            <w:r>
              <w:t>U</w:t>
            </w:r>
            <w:r w:rsidR="008E2B40" w:rsidRPr="008E2B40">
              <w:t xml:space="preserve">dtalelsen </w:t>
            </w:r>
            <w:r>
              <w:t xml:space="preserve">indeholder </w:t>
            </w:r>
            <w:proofErr w:type="spellStart"/>
            <w:r w:rsidR="005F1227">
              <w:t>EBA’s</w:t>
            </w:r>
            <w:proofErr w:type="spellEnd"/>
            <w:r w:rsidR="005F1227">
              <w:t xml:space="preserve"> </w:t>
            </w:r>
            <w:r>
              <w:t xml:space="preserve">rådgivning til </w:t>
            </w:r>
            <w:r w:rsidR="008E2B40" w:rsidRPr="008E2B40">
              <w:t xml:space="preserve">de </w:t>
            </w:r>
            <w:r w:rsidR="005E385C">
              <w:t xml:space="preserve">nationale </w:t>
            </w:r>
            <w:r w:rsidR="008E2B40" w:rsidRPr="008E2B40">
              <w:t xml:space="preserve">myndigheder </w:t>
            </w:r>
            <w:r w:rsidR="00C873BB">
              <w:t>om tilsyn med bl.a. investeringsselskaber</w:t>
            </w:r>
            <w:r w:rsidR="00783890">
              <w:t xml:space="preserve"> (</w:t>
            </w:r>
            <w:r w:rsidR="005C4EDE">
              <w:t>fondsmæglerselskaber</w:t>
            </w:r>
            <w:r w:rsidR="00783890">
              <w:t>)</w:t>
            </w:r>
            <w:r w:rsidR="005E385C">
              <w:t xml:space="preserve"> samt en gennemgang af de risici, som de nationale myndigheder ser i relation til investeringsselskaber</w:t>
            </w:r>
            <w:r w:rsidR="00760A0B">
              <w:t>.</w:t>
            </w:r>
            <w:r w:rsidR="00C873BB">
              <w:t xml:space="preserve"> </w:t>
            </w:r>
          </w:p>
          <w:p w14:paraId="713654A0" w14:textId="498C7F40" w:rsidR="00CD5A45" w:rsidRPr="008E2B40" w:rsidRDefault="00760A0B" w:rsidP="00CD5A45">
            <w:pPr>
              <w:jc w:val="both"/>
            </w:pPr>
            <w:r>
              <w:t>O</w:t>
            </w:r>
            <w:r w:rsidR="00CD5A45" w:rsidRPr="008E2B40">
              <w:t xml:space="preserve">ffentliggjort den 13. juli 2023, </w:t>
            </w:r>
            <w:hyperlink r:id="rId10" w:history="1">
              <w:r w:rsidR="00CD5A45" w:rsidRPr="008E2B40">
                <w:rPr>
                  <w:rStyle w:val="Hyperlink"/>
                </w:rPr>
                <w:t>link</w:t>
              </w:r>
            </w:hyperlink>
            <w:r w:rsidR="00CD5A45" w:rsidRPr="008E2B40">
              <w:t>.</w:t>
            </w:r>
          </w:p>
          <w:p w14:paraId="4C597902" w14:textId="77777777" w:rsidR="00CD5A45" w:rsidRPr="008E2B40" w:rsidRDefault="00CD5A45" w:rsidP="00CD5A45">
            <w:pPr>
              <w:jc w:val="both"/>
            </w:pPr>
          </w:p>
          <w:p w14:paraId="1F84175F" w14:textId="77777777" w:rsidR="00CD5A45" w:rsidRPr="00CD5A45" w:rsidRDefault="00CD5A45" w:rsidP="00CD5A45">
            <w:pPr>
              <w:jc w:val="both"/>
              <w:rPr>
                <w:b/>
                <w:bCs/>
              </w:rPr>
            </w:pPr>
            <w:bookmarkStart w:id="3" w:name="fjerde"/>
            <w:r w:rsidRPr="00CD5A45">
              <w:rPr>
                <w:b/>
                <w:bCs/>
              </w:rPr>
              <w:t>EBA offentliggør endelig vejledning om den samlede genopretningskapacitet i genopretningsplanlægning</w:t>
            </w:r>
            <w:bookmarkEnd w:id="3"/>
            <w:r w:rsidRPr="00CD5A45">
              <w:rPr>
                <w:b/>
                <w:bCs/>
              </w:rPr>
              <w:t>en</w:t>
            </w:r>
          </w:p>
          <w:p w14:paraId="538A24E1" w14:textId="3C9275E7" w:rsidR="00BF0387" w:rsidRDefault="00CD5A45" w:rsidP="00CD5A45">
            <w:pPr>
              <w:jc w:val="both"/>
            </w:pPr>
            <w:r w:rsidRPr="00CD5A45">
              <w:t>EBA har offentliggjort sine endelige retningslinjer for den samlede genopretningskapacitet (ORC) i genopretningsplanlægningen.</w:t>
            </w:r>
            <w:r w:rsidR="0062018D">
              <w:t xml:space="preserve"> Retningslinjerne har relevans for de </w:t>
            </w:r>
            <w:r w:rsidR="001773A9">
              <w:t>investering</w:t>
            </w:r>
            <w:r w:rsidR="00275FE2">
              <w:t>s</w:t>
            </w:r>
            <w:r w:rsidR="001773A9">
              <w:t>selskaber (</w:t>
            </w:r>
            <w:r w:rsidR="0062018D">
              <w:t>fondsmæglerselskaber</w:t>
            </w:r>
            <w:r w:rsidR="00E74758">
              <w:t>)</w:t>
            </w:r>
            <w:r w:rsidR="0062018D">
              <w:t>, som er underlagt reglerne om genopretningsplaner i BRRD.</w:t>
            </w:r>
            <w:r w:rsidRPr="00CD5A45">
              <w:t xml:space="preserve"> Retningslinjerne fastlægger en ramme for institutternes fastsættelse af ORC i deres genopretningsplaner og de kompetente myndigheders respektive vurderinger</w:t>
            </w:r>
            <w:r w:rsidR="00A13E37">
              <w:t>. Retningslinjerne</w:t>
            </w:r>
            <w:r w:rsidRPr="00CD5A45">
              <w:t xml:space="preserve"> har til formål at styrke institutternes effektive kriseberedskab</w:t>
            </w:r>
            <w:r w:rsidR="00BF0387">
              <w:t>.</w:t>
            </w:r>
            <w:r w:rsidRPr="00CD5A45">
              <w:t xml:space="preserve"> </w:t>
            </w:r>
          </w:p>
          <w:p w14:paraId="29816297" w14:textId="22222F3E" w:rsidR="00CD5A45" w:rsidRPr="00CD5A45" w:rsidRDefault="00BF0387" w:rsidP="00CD5A45">
            <w:pPr>
              <w:jc w:val="both"/>
            </w:pPr>
            <w:r>
              <w:t>O</w:t>
            </w:r>
            <w:r w:rsidR="00CD5A45" w:rsidRPr="00CD5A45">
              <w:t xml:space="preserve">ffentliggjort den 19. juli 2023, </w:t>
            </w:r>
            <w:hyperlink r:id="rId11" w:history="1">
              <w:r w:rsidR="00CD5A45" w:rsidRPr="00CD5A45">
                <w:rPr>
                  <w:rStyle w:val="Hyperlink"/>
                </w:rPr>
                <w:t>link</w:t>
              </w:r>
            </w:hyperlink>
            <w:r w:rsidR="00CD5A45" w:rsidRPr="00CD5A45">
              <w:t xml:space="preserve">. </w:t>
            </w:r>
          </w:p>
          <w:p w14:paraId="6AA57EEF" w14:textId="77777777" w:rsidR="0068666D" w:rsidRPr="00CD5A45" w:rsidRDefault="0068666D" w:rsidP="00CD5A45">
            <w:pPr>
              <w:jc w:val="both"/>
            </w:pPr>
          </w:p>
        </w:tc>
      </w:tr>
      <w:tr w:rsidR="002548F7" w:rsidRPr="002548F7" w14:paraId="0B11AC4B" w14:textId="77777777" w:rsidTr="00F3100C">
        <w:trPr>
          <w:trHeight w:val="54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21283E" w14:textId="77777777" w:rsidR="002548F7" w:rsidRPr="002548F7" w:rsidRDefault="002548F7" w:rsidP="00170936">
            <w:pPr>
              <w:pStyle w:val="Listeafsnit"/>
              <w:numPr>
                <w:ilvl w:val="1"/>
                <w:numId w:val="14"/>
              </w:numPr>
              <w:jc w:val="both"/>
              <w:rPr>
                <w:b/>
                <w:bCs/>
              </w:rPr>
            </w:pPr>
            <w:r w:rsidRPr="002548F7">
              <w:rPr>
                <w:b/>
                <w:bCs/>
              </w:rPr>
              <w:t>ESMA</w:t>
            </w:r>
          </w:p>
        </w:tc>
      </w:tr>
      <w:tr w:rsidR="002548F7" w:rsidRPr="003A7D88" w14:paraId="319A9A41" w14:textId="77777777" w:rsidTr="00F3100C">
        <w:trPr>
          <w:trHeight w:val="1621"/>
        </w:trPr>
        <w:tc>
          <w:tcPr>
            <w:tcW w:w="0" w:type="auto"/>
            <w:tcBorders>
              <w:bottom w:val="single" w:sz="4" w:space="0" w:color="auto"/>
            </w:tcBorders>
          </w:tcPr>
          <w:p w14:paraId="4EDF9F10" w14:textId="77777777" w:rsidR="00E81D75" w:rsidRPr="00E81D75" w:rsidRDefault="00E81D75" w:rsidP="00E81D75">
            <w:pPr>
              <w:jc w:val="both"/>
              <w:rPr>
                <w:b/>
                <w:bCs/>
              </w:rPr>
            </w:pPr>
          </w:p>
          <w:bookmarkStart w:id="4" w:name="femte"/>
          <w:p w14:paraId="73E5F6CF" w14:textId="77777777" w:rsidR="00E81D75" w:rsidRPr="00E81D75" w:rsidRDefault="00000000" w:rsidP="00E81D75">
            <w:pPr>
              <w:jc w:val="both"/>
              <w:rPr>
                <w:b/>
                <w:bCs/>
              </w:rPr>
            </w:pPr>
            <w:r>
              <w:fldChar w:fldCharType="begin"/>
            </w:r>
            <w:r>
              <w:instrText>HYPERLINK "https://www.esma.europa.eu/press-news/esma-news/new-manual-post-trade-transparency-available"</w:instrText>
            </w:r>
            <w:r>
              <w:fldChar w:fldCharType="separate"/>
            </w:r>
            <w:r w:rsidR="00E81D75" w:rsidRPr="00E81D75">
              <w:rPr>
                <w:rStyle w:val="Hyperlink"/>
                <w:b/>
                <w:color w:val="auto"/>
                <w:u w:val="none"/>
                <w:lang w:val="da"/>
              </w:rPr>
              <w:t>Ny håndbog om efterhandelsgennemsigtighed tilgængelig</w:t>
            </w:r>
            <w:r>
              <w:rPr>
                <w:rStyle w:val="Hyperlink"/>
                <w:b/>
                <w:color w:val="auto"/>
                <w:u w:val="none"/>
                <w:lang w:val="da"/>
              </w:rPr>
              <w:fldChar w:fldCharType="end"/>
            </w:r>
          </w:p>
          <w:bookmarkEnd w:id="4"/>
          <w:p w14:paraId="502895F7" w14:textId="77777777" w:rsidR="00B761A2" w:rsidRDefault="00E81D75" w:rsidP="00E81D75">
            <w:pPr>
              <w:jc w:val="both"/>
              <w:rPr>
                <w:lang w:val="da"/>
              </w:rPr>
            </w:pPr>
            <w:r w:rsidRPr="00E81D75">
              <w:rPr>
                <w:lang w:val="da"/>
              </w:rPr>
              <w:t xml:space="preserve">ESMA har offentliggjort en vejledning til markedsdeltagere og nationale kompetente myndigheder om anvendelsen af de relevante </w:t>
            </w:r>
            <w:proofErr w:type="spellStart"/>
            <w:r w:rsidRPr="00E81D75">
              <w:rPr>
                <w:lang w:val="da"/>
              </w:rPr>
              <w:t>MiFIR</w:t>
            </w:r>
            <w:proofErr w:type="spellEnd"/>
            <w:r w:rsidRPr="00E81D75">
              <w:rPr>
                <w:lang w:val="da"/>
              </w:rPr>
              <w:t>-forpligtelser</w:t>
            </w:r>
            <w:r w:rsidR="00D5685C">
              <w:rPr>
                <w:lang w:val="da"/>
              </w:rPr>
              <w:t xml:space="preserve"> om efterhandelsgennemsigtighed. </w:t>
            </w:r>
          </w:p>
          <w:p w14:paraId="5FFB1332" w14:textId="28B4E60E" w:rsidR="00567ED6" w:rsidRDefault="00B761A2" w:rsidP="00E81D75">
            <w:pPr>
              <w:jc w:val="both"/>
              <w:rPr>
                <w:lang w:val="da"/>
              </w:rPr>
            </w:pPr>
            <w:r>
              <w:t xml:space="preserve">I forbindelse med </w:t>
            </w:r>
            <w:r w:rsidR="00352A05">
              <w:t>udarbejdelsen af forslag til ændringer</w:t>
            </w:r>
            <w:r>
              <w:t xml:space="preserve"> af RTS 1 og 2 </w:t>
            </w:r>
            <w:r w:rsidR="00E74979">
              <w:t xml:space="preserve">under </w:t>
            </w:r>
            <w:proofErr w:type="spellStart"/>
            <w:r w:rsidR="00E74979">
              <w:t>MiFIR</w:t>
            </w:r>
            <w:proofErr w:type="spellEnd"/>
            <w:r w:rsidR="00E74979">
              <w:t xml:space="preserve"> i </w:t>
            </w:r>
            <w:r>
              <w:t xml:space="preserve">2022 </w:t>
            </w:r>
            <w:r w:rsidR="00352A05">
              <w:t xml:space="preserve">fandt </w:t>
            </w:r>
            <w:r>
              <w:t>ESMA</w:t>
            </w:r>
            <w:r w:rsidR="001602BD">
              <w:t>, at</w:t>
            </w:r>
            <w:r w:rsidR="005C560F">
              <w:t xml:space="preserve"> der burde gives mere vejledning i</w:t>
            </w:r>
            <w:r w:rsidR="001602BD">
              <w:t xml:space="preserve"> </w:t>
            </w:r>
            <w:proofErr w:type="gramStart"/>
            <w:r w:rsidR="001602BD">
              <w:t>områderne</w:t>
            </w:r>
            <w:proofErr w:type="gramEnd"/>
            <w:r w:rsidR="001602BD">
              <w:t xml:space="preserve"> </w:t>
            </w:r>
            <w:r>
              <w:t>efterhandelsgennemsigtighed og gennemsigtighedsberegninger</w:t>
            </w:r>
            <w:r w:rsidR="00E81D75" w:rsidRPr="00E81D75">
              <w:rPr>
                <w:lang w:val="da"/>
              </w:rPr>
              <w:t xml:space="preserve">. En ajourført Q&amp;A om </w:t>
            </w:r>
            <w:proofErr w:type="spellStart"/>
            <w:r w:rsidR="00E81D75" w:rsidRPr="00E81D75">
              <w:rPr>
                <w:lang w:val="da"/>
              </w:rPr>
              <w:t>MiFID</w:t>
            </w:r>
            <w:proofErr w:type="spellEnd"/>
            <w:r w:rsidR="00E81D75" w:rsidRPr="00E81D75">
              <w:rPr>
                <w:lang w:val="da"/>
              </w:rPr>
              <w:t xml:space="preserve"> II- og </w:t>
            </w:r>
            <w:proofErr w:type="spellStart"/>
            <w:r w:rsidR="00E81D75" w:rsidRPr="00E81D75">
              <w:rPr>
                <w:lang w:val="da"/>
              </w:rPr>
              <w:t>MiFIR</w:t>
            </w:r>
            <w:proofErr w:type="spellEnd"/>
            <w:r w:rsidR="00E81D75" w:rsidRPr="00E81D75">
              <w:rPr>
                <w:lang w:val="da"/>
              </w:rPr>
              <w:t>-gennemsigtighedsemner vil blive offentliggjort i oktober 2023</w:t>
            </w:r>
            <w:r w:rsidR="005C560F">
              <w:rPr>
                <w:lang w:val="da"/>
              </w:rPr>
              <w:t>,</w:t>
            </w:r>
            <w:r w:rsidR="00E81D75" w:rsidRPr="00E81D75">
              <w:rPr>
                <w:lang w:val="da"/>
              </w:rPr>
              <w:t xml:space="preserve"> og </w:t>
            </w:r>
            <w:r w:rsidR="00567ED6">
              <w:rPr>
                <w:lang w:val="da"/>
              </w:rPr>
              <w:t xml:space="preserve">den nu offentliggjorte </w:t>
            </w:r>
            <w:r w:rsidR="00E81D75" w:rsidRPr="00E81D75">
              <w:rPr>
                <w:lang w:val="da"/>
              </w:rPr>
              <w:t>vejledning har in</w:t>
            </w:r>
            <w:r w:rsidR="00275FE2">
              <w:rPr>
                <w:lang w:val="da"/>
              </w:rPr>
              <w:t>d</w:t>
            </w:r>
            <w:r w:rsidR="00E81D75" w:rsidRPr="00E81D75">
              <w:rPr>
                <w:lang w:val="da"/>
              </w:rPr>
              <w:t>til da forrang</w:t>
            </w:r>
            <w:r w:rsidR="00501DD6">
              <w:rPr>
                <w:lang w:val="da"/>
              </w:rPr>
              <w:t>.</w:t>
            </w:r>
            <w:r w:rsidR="00E81D75" w:rsidRPr="00E81D75">
              <w:rPr>
                <w:lang w:val="da"/>
              </w:rPr>
              <w:t xml:space="preserve"> </w:t>
            </w:r>
          </w:p>
          <w:p w14:paraId="583A66C6" w14:textId="101C5263" w:rsidR="00E81D75" w:rsidRPr="00E81D75" w:rsidRDefault="00501DD6" w:rsidP="00E81D75">
            <w:pPr>
              <w:jc w:val="both"/>
              <w:rPr>
                <w:lang w:val="da"/>
              </w:rPr>
            </w:pPr>
            <w:r>
              <w:rPr>
                <w:lang w:val="da"/>
              </w:rPr>
              <w:t>O</w:t>
            </w:r>
            <w:r w:rsidR="00E81D75" w:rsidRPr="00E81D75">
              <w:rPr>
                <w:lang w:val="da"/>
              </w:rPr>
              <w:t xml:space="preserve">ffentliggjort den 10. juli 2023, </w:t>
            </w:r>
            <w:hyperlink r:id="rId12" w:history="1">
              <w:r w:rsidR="00E81D75" w:rsidRPr="00E81D75">
                <w:rPr>
                  <w:rStyle w:val="Hyperlink"/>
                  <w:lang w:val="da"/>
                </w:rPr>
                <w:t>lin</w:t>
              </w:r>
              <w:r w:rsidR="00E81D75" w:rsidRPr="00E81D75">
                <w:rPr>
                  <w:rStyle w:val="Hyperlink"/>
                  <w:lang w:val="da"/>
                </w:rPr>
                <w:t>k</w:t>
              </w:r>
            </w:hyperlink>
            <w:r w:rsidR="00E81D75" w:rsidRPr="00E81D75">
              <w:rPr>
                <w:lang w:val="da"/>
              </w:rPr>
              <w:t>.</w:t>
            </w:r>
          </w:p>
          <w:p w14:paraId="53859245" w14:textId="77777777" w:rsidR="00E81D75" w:rsidRPr="00E81D75" w:rsidRDefault="00E81D75" w:rsidP="00E81D75">
            <w:pPr>
              <w:jc w:val="both"/>
              <w:rPr>
                <w:lang w:val="da"/>
              </w:rPr>
            </w:pPr>
          </w:p>
          <w:bookmarkStart w:id="5" w:name="sjette"/>
          <w:p w14:paraId="464940D3" w14:textId="77777777" w:rsidR="00E81D75" w:rsidRPr="00E81D75" w:rsidRDefault="00000000" w:rsidP="00E81D75">
            <w:pPr>
              <w:jc w:val="both"/>
              <w:rPr>
                <w:b/>
                <w:bCs/>
              </w:rPr>
            </w:pPr>
            <w:r>
              <w:fldChar w:fldCharType="begin"/>
            </w:r>
            <w:r>
              <w:instrText>HYPERLINK "https://www.esma.europa.eu/press-news/esma-news/esma-updates-its-guidance-definition-advice-supervisory-briefing"</w:instrText>
            </w:r>
            <w:r>
              <w:fldChar w:fldCharType="separate"/>
            </w:r>
            <w:r w:rsidR="00E81D75" w:rsidRPr="00E81D75">
              <w:rPr>
                <w:rStyle w:val="Hyperlink"/>
                <w:b/>
                <w:color w:val="auto"/>
                <w:u w:val="none"/>
                <w:lang w:val="da"/>
              </w:rPr>
              <w:t>ESMA ajourfører sin vejledning om definitionen af rådgivning</w:t>
            </w:r>
            <w:r w:rsidR="00E81D75" w:rsidRPr="00E81D75">
              <w:rPr>
                <w:rStyle w:val="Hyperlink"/>
                <w:b/>
                <w:u w:val="none"/>
                <w:lang w:val="da"/>
              </w:rPr>
              <w:t xml:space="preserve"> </w:t>
            </w:r>
            <w:r>
              <w:rPr>
                <w:rStyle w:val="Hyperlink"/>
                <w:b/>
                <w:u w:val="none"/>
                <w:lang w:val="da"/>
              </w:rPr>
              <w:fldChar w:fldCharType="end"/>
            </w:r>
          </w:p>
          <w:bookmarkEnd w:id="5"/>
          <w:p w14:paraId="3EE52A1B" w14:textId="5E283505" w:rsidR="00567ED6" w:rsidRPr="00567ED6" w:rsidRDefault="00E81D75" w:rsidP="00E81D75">
            <w:pPr>
              <w:jc w:val="both"/>
              <w:rPr>
                <w:lang w:val="da"/>
              </w:rPr>
            </w:pPr>
            <w:r w:rsidRPr="00E81D75">
              <w:rPr>
                <w:lang w:val="da"/>
              </w:rPr>
              <w:t xml:space="preserve">ESMA har offentliggjort en </w:t>
            </w:r>
            <w:proofErr w:type="spellStart"/>
            <w:r w:rsidRPr="00E81D75">
              <w:rPr>
                <w:lang w:val="da"/>
              </w:rPr>
              <w:t>supervisory</w:t>
            </w:r>
            <w:proofErr w:type="spellEnd"/>
            <w:r w:rsidRPr="00E81D75">
              <w:rPr>
                <w:lang w:val="da"/>
              </w:rPr>
              <w:t xml:space="preserve"> briefing om forståelsen af</w:t>
            </w:r>
            <w:r w:rsidR="00381176">
              <w:rPr>
                <w:lang w:val="da"/>
              </w:rPr>
              <w:t>, hvad der udgør</w:t>
            </w:r>
            <w:r w:rsidRPr="00E81D75">
              <w:rPr>
                <w:lang w:val="da"/>
              </w:rPr>
              <w:t xml:space="preserve"> rådgivning i henhold til </w:t>
            </w:r>
            <w:proofErr w:type="spellStart"/>
            <w:r w:rsidRPr="00E81D75">
              <w:rPr>
                <w:lang w:val="da"/>
              </w:rPr>
              <w:t>MiFID</w:t>
            </w:r>
            <w:proofErr w:type="spellEnd"/>
            <w:r w:rsidRPr="00E81D75">
              <w:rPr>
                <w:lang w:val="da"/>
              </w:rPr>
              <w:t xml:space="preserve"> II</w:t>
            </w:r>
            <w:r w:rsidR="00501DD6">
              <w:rPr>
                <w:lang w:val="da"/>
              </w:rPr>
              <w:t>.</w:t>
            </w:r>
            <w:r w:rsidR="00381176">
              <w:rPr>
                <w:lang w:val="da"/>
              </w:rPr>
              <w:t xml:space="preserve"> Der er tale om en opdatering</w:t>
            </w:r>
            <w:r w:rsidR="00C64C89">
              <w:rPr>
                <w:lang w:val="da"/>
              </w:rPr>
              <w:t xml:space="preserve"> </w:t>
            </w:r>
            <w:r w:rsidR="00381176">
              <w:rPr>
                <w:lang w:val="da"/>
              </w:rPr>
              <w:t xml:space="preserve">af </w:t>
            </w:r>
            <w:r w:rsidR="0020283A">
              <w:rPr>
                <w:lang w:val="da"/>
              </w:rPr>
              <w:t xml:space="preserve">en Q&amp;A, som blev udarbejdet af </w:t>
            </w:r>
            <w:proofErr w:type="spellStart"/>
            <w:r w:rsidR="0020283A">
              <w:rPr>
                <w:lang w:val="da"/>
              </w:rPr>
              <w:t>ESMA’s</w:t>
            </w:r>
            <w:proofErr w:type="spellEnd"/>
            <w:r w:rsidR="0020283A">
              <w:rPr>
                <w:lang w:val="da"/>
              </w:rPr>
              <w:t xml:space="preserve"> forgænger CESR under </w:t>
            </w:r>
            <w:proofErr w:type="spellStart"/>
            <w:r w:rsidR="0020283A">
              <w:rPr>
                <w:lang w:val="da"/>
              </w:rPr>
              <w:t>MiFID</w:t>
            </w:r>
            <w:proofErr w:type="spellEnd"/>
            <w:r w:rsidR="0020283A">
              <w:rPr>
                <w:lang w:val="da"/>
              </w:rPr>
              <w:t xml:space="preserve"> I.</w:t>
            </w:r>
            <w:r w:rsidRPr="00E81D75">
              <w:rPr>
                <w:lang w:val="da"/>
              </w:rPr>
              <w:t xml:space="preserve"> </w:t>
            </w:r>
          </w:p>
          <w:p w14:paraId="0348BDBE" w14:textId="325D76FB" w:rsidR="00E81D75" w:rsidRPr="00E81D75" w:rsidRDefault="00501DD6" w:rsidP="00E81D75">
            <w:pPr>
              <w:jc w:val="both"/>
            </w:pPr>
            <w:r>
              <w:t>O</w:t>
            </w:r>
            <w:r w:rsidR="00E81D75" w:rsidRPr="00E81D75">
              <w:t xml:space="preserve">ffentliggjort den 11. juli 2023, </w:t>
            </w:r>
            <w:hyperlink r:id="rId13" w:history="1">
              <w:r w:rsidR="00E81D75" w:rsidRPr="00E81D75">
                <w:rPr>
                  <w:rStyle w:val="Hyperlink"/>
                </w:rPr>
                <w:t>li</w:t>
              </w:r>
              <w:r w:rsidR="00E81D75" w:rsidRPr="00E81D75">
                <w:rPr>
                  <w:rStyle w:val="Hyperlink"/>
                </w:rPr>
                <w:t>n</w:t>
              </w:r>
              <w:r w:rsidR="00E81D75" w:rsidRPr="00E81D75">
                <w:rPr>
                  <w:rStyle w:val="Hyperlink"/>
                </w:rPr>
                <w:t>k</w:t>
              </w:r>
            </w:hyperlink>
            <w:r w:rsidR="00E81D75" w:rsidRPr="00E81D75">
              <w:t>.</w:t>
            </w:r>
          </w:p>
          <w:p w14:paraId="18A3C265" w14:textId="77777777" w:rsidR="00E81D75" w:rsidRPr="00E81D75" w:rsidRDefault="00E81D75" w:rsidP="00E81D75">
            <w:pPr>
              <w:jc w:val="both"/>
            </w:pPr>
          </w:p>
          <w:bookmarkStart w:id="6" w:name="syvende"/>
          <w:p w14:paraId="1C9D1930" w14:textId="3A0EA786" w:rsidR="00CF093E" w:rsidRPr="00CF093E" w:rsidRDefault="00000000" w:rsidP="00CF093E">
            <w:pPr>
              <w:jc w:val="both"/>
              <w:rPr>
                <w:b/>
                <w:bCs/>
              </w:rPr>
            </w:pPr>
            <w:r>
              <w:fldChar w:fldCharType="begin"/>
            </w:r>
            <w:r>
              <w:instrText>HYPERLINK "https://www.esma.europa.eu/press-news/esma-news/esma-highlights-risks-arising-securities-lending-retail-investors"</w:instrText>
            </w:r>
            <w:r>
              <w:fldChar w:fldCharType="separate"/>
            </w:r>
            <w:r w:rsidR="00CF093E" w:rsidRPr="00CF093E">
              <w:rPr>
                <w:rStyle w:val="Hyperlink"/>
                <w:b/>
                <w:color w:val="auto"/>
                <w:u w:val="none"/>
                <w:lang w:val="da"/>
              </w:rPr>
              <w:t xml:space="preserve">ESMA fremhæver risici i forbindelse med værdipapirudlån </w:t>
            </w:r>
            <w:r w:rsidR="00FB4805" w:rsidRPr="000B699A">
              <w:rPr>
                <w:rStyle w:val="Hyperlink"/>
                <w:b/>
                <w:color w:val="auto"/>
                <w:u w:val="none"/>
                <w:lang w:val="da"/>
              </w:rPr>
              <w:t>ved</w:t>
            </w:r>
            <w:r w:rsidR="00CF093E" w:rsidRPr="00CF093E">
              <w:rPr>
                <w:rStyle w:val="Hyperlink"/>
                <w:b/>
                <w:color w:val="auto"/>
                <w:u w:val="none"/>
                <w:lang w:val="da"/>
              </w:rPr>
              <w:t xml:space="preserve"> detailinvestorer</w:t>
            </w:r>
            <w:r>
              <w:rPr>
                <w:rStyle w:val="Hyperlink"/>
                <w:b/>
                <w:color w:val="auto"/>
                <w:u w:val="none"/>
                <w:lang w:val="da"/>
              </w:rPr>
              <w:fldChar w:fldCharType="end"/>
            </w:r>
          </w:p>
          <w:bookmarkEnd w:id="6"/>
          <w:p w14:paraId="5DC0719A" w14:textId="5789AF4A" w:rsidR="00501DD6" w:rsidRDefault="00CF093E" w:rsidP="00CF093E">
            <w:pPr>
              <w:jc w:val="both"/>
              <w:rPr>
                <w:lang w:val="da"/>
              </w:rPr>
            </w:pPr>
            <w:r w:rsidRPr="00CF093E">
              <w:rPr>
                <w:lang w:val="da"/>
              </w:rPr>
              <w:lastRenderedPageBreak/>
              <w:t xml:space="preserve">ESMA har offentliggjort en </w:t>
            </w:r>
            <w:hyperlink r:id="rId14" w:history="1">
              <w:r w:rsidRPr="00CF093E">
                <w:rPr>
                  <w:rStyle w:val="Hyperlink"/>
                  <w:color w:val="auto"/>
                  <w:u w:val="none"/>
                  <w:lang w:val="da"/>
                </w:rPr>
                <w:t>erklæring om værdipapirudlån</w:t>
              </w:r>
            </w:hyperlink>
            <w:r w:rsidRPr="00CF093E">
              <w:rPr>
                <w:lang w:val="da"/>
              </w:rPr>
              <w:t xml:space="preserve"> </w:t>
            </w:r>
            <w:r w:rsidR="000B699A">
              <w:rPr>
                <w:lang w:val="da"/>
              </w:rPr>
              <w:t>i relation til</w:t>
            </w:r>
            <w:r w:rsidRPr="00CF093E">
              <w:rPr>
                <w:lang w:val="da"/>
              </w:rPr>
              <w:t xml:space="preserve"> detailkunder, hvor der redegøres for de gældende </w:t>
            </w:r>
            <w:r w:rsidR="00392ECC">
              <w:rPr>
                <w:lang w:val="da"/>
              </w:rPr>
              <w:t xml:space="preserve">særlige </w:t>
            </w:r>
            <w:r w:rsidRPr="00CF093E">
              <w:rPr>
                <w:lang w:val="da"/>
              </w:rPr>
              <w:t xml:space="preserve">krav i henhold til </w:t>
            </w:r>
            <w:proofErr w:type="spellStart"/>
            <w:r w:rsidRPr="00CF093E">
              <w:rPr>
                <w:lang w:val="da"/>
              </w:rPr>
              <w:t>MiFID</w:t>
            </w:r>
            <w:proofErr w:type="spellEnd"/>
            <w:r w:rsidRPr="00CF093E">
              <w:rPr>
                <w:lang w:val="da"/>
              </w:rPr>
              <w:t xml:space="preserve"> II</w:t>
            </w:r>
            <w:r w:rsidR="00392ECC">
              <w:rPr>
                <w:lang w:val="da"/>
              </w:rPr>
              <w:t xml:space="preserve">, </w:t>
            </w:r>
            <w:r w:rsidR="006B0EE6">
              <w:rPr>
                <w:lang w:val="da"/>
              </w:rPr>
              <w:t>bl.a. i forhold til kundens accept</w:t>
            </w:r>
            <w:r w:rsidR="00D81FCA">
              <w:rPr>
                <w:lang w:val="da"/>
              </w:rPr>
              <w:t>.</w:t>
            </w:r>
            <w:r w:rsidR="00D13024">
              <w:rPr>
                <w:lang w:val="da"/>
              </w:rPr>
              <w:t xml:space="preserve"> </w:t>
            </w:r>
          </w:p>
          <w:p w14:paraId="4588F137" w14:textId="5AA222BC" w:rsidR="002E1BB1" w:rsidRPr="003A7D88" w:rsidRDefault="00501DD6" w:rsidP="008C13CD">
            <w:pPr>
              <w:jc w:val="both"/>
            </w:pPr>
            <w:r>
              <w:t>O</w:t>
            </w:r>
            <w:r w:rsidR="00CF093E" w:rsidRPr="00CF093E">
              <w:t xml:space="preserve">ffentliggjort den 12. juli 2023, </w:t>
            </w:r>
            <w:hyperlink r:id="rId15" w:history="1">
              <w:r w:rsidR="00CF093E" w:rsidRPr="00CF093E">
                <w:rPr>
                  <w:rStyle w:val="Hyperlink"/>
                </w:rPr>
                <w:t>lin</w:t>
              </w:r>
              <w:r w:rsidR="00CF093E" w:rsidRPr="00CF093E">
                <w:rPr>
                  <w:rStyle w:val="Hyperlink"/>
                </w:rPr>
                <w:t>k</w:t>
              </w:r>
            </w:hyperlink>
            <w:r w:rsidR="00CF093E" w:rsidRPr="00CF093E">
              <w:t>.</w:t>
            </w:r>
          </w:p>
        </w:tc>
      </w:tr>
    </w:tbl>
    <w:p w14:paraId="5609EBBB" w14:textId="77777777" w:rsidR="00A95E1C" w:rsidRDefault="00A95E1C" w:rsidP="002F1E4B">
      <w:pPr>
        <w:jc w:val="both"/>
      </w:pPr>
    </w:p>
    <w:p w14:paraId="78B79A2D" w14:textId="77777777" w:rsidR="00FE571C" w:rsidRDefault="00FE571C" w:rsidP="002F1E4B">
      <w:pPr>
        <w:jc w:val="both"/>
      </w:pPr>
    </w:p>
    <w:p w14:paraId="0E99A284" w14:textId="15CDD872" w:rsidR="004C3E76" w:rsidRPr="001918EB" w:rsidRDefault="008653B5" w:rsidP="004C3E76">
      <w:pPr>
        <w:rPr>
          <w:i/>
          <w:iCs/>
        </w:rPr>
      </w:pPr>
      <w:r>
        <w:rPr>
          <w:i/>
          <w:iCs/>
        </w:rPr>
        <w:t>Denne oversigt</w:t>
      </w:r>
      <w:r w:rsidR="004C3E76" w:rsidRPr="001918EB">
        <w:rPr>
          <w:i/>
          <w:iCs/>
        </w:rPr>
        <w:t xml:space="preserve"> over ny finansiel regulering er udvalgt af Capital Law CPH ud fra regulering, der retter sig direkte til fondsmæglerselskaber og deres </w:t>
      </w:r>
      <w:proofErr w:type="spellStart"/>
      <w:r w:rsidR="004C3E76" w:rsidRPr="001918EB">
        <w:rPr>
          <w:i/>
          <w:iCs/>
        </w:rPr>
        <w:t>holdingvirksomheder</w:t>
      </w:r>
      <w:proofErr w:type="spellEnd"/>
      <w:r w:rsidR="004C3E76" w:rsidRPr="001918EB">
        <w:rPr>
          <w:i/>
          <w:iCs/>
        </w:rPr>
        <w:t xml:space="preserve">. Oversigten er en informationstjeneste og udgør ikke juridisk rådgivning, og Capital Law CPH påtager sig ikke ansvar for fejl eller mangler. </w:t>
      </w:r>
      <w:r w:rsidR="004C3E76" w:rsidRPr="001918EB">
        <w:rPr>
          <w:noProof/>
        </w:rPr>
        <w:drawing>
          <wp:anchor distT="0" distB="0" distL="114300" distR="114300" simplePos="0" relativeHeight="251659264" behindDoc="0" locked="0" layoutInCell="1" allowOverlap="1" wp14:anchorId="2F65FAFE" wp14:editId="765AB631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FC652A" w14:textId="5500DF5B" w:rsidR="004C3E76" w:rsidRPr="001918EB" w:rsidRDefault="004C3E76" w:rsidP="004C3E76">
      <w:pPr>
        <w:rPr>
          <w:i/>
          <w:iCs/>
        </w:rPr>
      </w:pPr>
      <w:r w:rsidRPr="001918EB">
        <w:rPr>
          <w:i/>
          <w:iCs/>
        </w:rPr>
        <w:t xml:space="preserve">Oversigten er redigeret af </w:t>
      </w:r>
      <w:r w:rsidR="00D14F6D">
        <w:rPr>
          <w:i/>
          <w:iCs/>
        </w:rPr>
        <w:t>advokat og p</w:t>
      </w:r>
      <w:r w:rsidRPr="001918EB">
        <w:rPr>
          <w:i/>
          <w:iCs/>
        </w:rPr>
        <w:t xml:space="preserve">artner Camilla Søborg, </w:t>
      </w:r>
      <w:hyperlink r:id="rId17" w:history="1">
        <w:r w:rsidRPr="001918EB">
          <w:rPr>
            <w:rStyle w:val="Hyperlink"/>
            <w:i/>
            <w:iCs/>
          </w:rPr>
          <w:t>cas@capitallawcph.dk</w:t>
        </w:r>
      </w:hyperlink>
      <w:r w:rsidRPr="001918EB">
        <w:rPr>
          <w:i/>
          <w:iCs/>
        </w:rPr>
        <w:t xml:space="preserve">, tlf. 53500914, som du kan </w:t>
      </w:r>
      <w:proofErr w:type="gramStart"/>
      <w:r w:rsidRPr="001918EB">
        <w:rPr>
          <w:i/>
          <w:iCs/>
        </w:rPr>
        <w:t>rette henvendelse</w:t>
      </w:r>
      <w:proofErr w:type="gramEnd"/>
      <w:r w:rsidRPr="001918EB">
        <w:rPr>
          <w:i/>
          <w:iCs/>
        </w:rPr>
        <w:t xml:space="preserve"> til, hvis du har kommentarer eller spørgsmål. </w:t>
      </w:r>
    </w:p>
    <w:p w14:paraId="0BC1D37A" w14:textId="77777777" w:rsidR="004C3E76" w:rsidRPr="001918EB" w:rsidRDefault="004C3E76" w:rsidP="004C3E76">
      <w:pPr>
        <w:rPr>
          <w:i/>
          <w:iCs/>
        </w:rPr>
      </w:pPr>
    </w:p>
    <w:p w14:paraId="25DAB348" w14:textId="77777777" w:rsidR="004C3E76" w:rsidRPr="001918EB" w:rsidRDefault="004C3E76" w:rsidP="004C3E76">
      <w:r w:rsidRPr="001918EB">
        <w:rPr>
          <w:noProof/>
        </w:rPr>
        <w:drawing>
          <wp:inline distT="0" distB="0" distL="0" distR="0" wp14:anchorId="110C606D" wp14:editId="22DBFB5C">
            <wp:extent cx="1600200" cy="304800"/>
            <wp:effectExtent l="0" t="0" r="0" b="0"/>
            <wp:docPr id="1" name="Billede 1" descr="Et billede, der indeholder tekst, skil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&#10;&#10;Automatisk genereret beskrivels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9B58C" w14:textId="01E6D66C" w:rsidR="00A70EC2" w:rsidRPr="008F4614" w:rsidRDefault="004C3E76" w:rsidP="003811B2">
      <w:r w:rsidRPr="001918EB">
        <w:t>Capital Law CPH Advokater I/S,</w:t>
      </w:r>
      <w:r w:rsidRPr="001918EB">
        <w:rPr>
          <w:b/>
          <w:bCs/>
        </w:rPr>
        <w:t xml:space="preserve"> </w:t>
      </w:r>
      <w:r w:rsidRPr="001918EB">
        <w:t xml:space="preserve">CVR-nr. 42075000, </w:t>
      </w:r>
      <w:r w:rsidR="00B4743A">
        <w:t>Hellerupvej</w:t>
      </w:r>
      <w:r w:rsidRPr="001918EB">
        <w:t xml:space="preserve"> 5, DK-2900 Hellerup</w:t>
      </w:r>
    </w:p>
    <w:sectPr w:rsidR="00A70EC2" w:rsidRPr="008F46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0D8"/>
    <w:multiLevelType w:val="multilevel"/>
    <w:tmpl w:val="D85CF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F02D28"/>
    <w:multiLevelType w:val="hybridMultilevel"/>
    <w:tmpl w:val="54F474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A55"/>
    <w:multiLevelType w:val="multilevel"/>
    <w:tmpl w:val="CAE8DF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30A01"/>
    <w:multiLevelType w:val="multilevel"/>
    <w:tmpl w:val="F08A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E50C09"/>
    <w:multiLevelType w:val="multilevel"/>
    <w:tmpl w:val="D7EC2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E55EC1"/>
    <w:multiLevelType w:val="multilevel"/>
    <w:tmpl w:val="E30A74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EA3968"/>
    <w:multiLevelType w:val="multilevel"/>
    <w:tmpl w:val="DA800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392658"/>
    <w:multiLevelType w:val="multilevel"/>
    <w:tmpl w:val="6AEA2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9F7947"/>
    <w:multiLevelType w:val="hybridMultilevel"/>
    <w:tmpl w:val="B87E62C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7C07"/>
    <w:multiLevelType w:val="multilevel"/>
    <w:tmpl w:val="DA800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5E5C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E348D"/>
    <w:multiLevelType w:val="multilevel"/>
    <w:tmpl w:val="D062F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575C3C"/>
    <w:multiLevelType w:val="multilevel"/>
    <w:tmpl w:val="C9A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920808"/>
    <w:multiLevelType w:val="multilevel"/>
    <w:tmpl w:val="AAA05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A9655F"/>
    <w:multiLevelType w:val="multilevel"/>
    <w:tmpl w:val="C60C7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2017447">
    <w:abstractNumId w:val="1"/>
  </w:num>
  <w:num w:numId="2" w16cid:durableId="1385905738">
    <w:abstractNumId w:val="11"/>
  </w:num>
  <w:num w:numId="3" w16cid:durableId="1095639558">
    <w:abstractNumId w:val="10"/>
  </w:num>
  <w:num w:numId="4" w16cid:durableId="1460101241">
    <w:abstractNumId w:val="9"/>
  </w:num>
  <w:num w:numId="5" w16cid:durableId="110631955">
    <w:abstractNumId w:val="5"/>
  </w:num>
  <w:num w:numId="6" w16cid:durableId="1894001516">
    <w:abstractNumId w:val="2"/>
  </w:num>
  <w:num w:numId="7" w16cid:durableId="2129545493">
    <w:abstractNumId w:val="0"/>
  </w:num>
  <w:num w:numId="8" w16cid:durableId="454298778">
    <w:abstractNumId w:val="6"/>
  </w:num>
  <w:num w:numId="9" w16cid:durableId="1513255857">
    <w:abstractNumId w:val="14"/>
  </w:num>
  <w:num w:numId="10" w16cid:durableId="2017266621">
    <w:abstractNumId w:val="12"/>
  </w:num>
  <w:num w:numId="11" w16cid:durableId="1249268613">
    <w:abstractNumId w:val="8"/>
  </w:num>
  <w:num w:numId="12" w16cid:durableId="2109888049">
    <w:abstractNumId w:val="7"/>
  </w:num>
  <w:num w:numId="13" w16cid:durableId="1554265939">
    <w:abstractNumId w:val="13"/>
  </w:num>
  <w:num w:numId="14" w16cid:durableId="472412560">
    <w:abstractNumId w:val="4"/>
  </w:num>
  <w:num w:numId="15" w16cid:durableId="102591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F4"/>
    <w:rsid w:val="00007992"/>
    <w:rsid w:val="000116A1"/>
    <w:rsid w:val="00014192"/>
    <w:rsid w:val="00023101"/>
    <w:rsid w:val="00023DF9"/>
    <w:rsid w:val="000305AC"/>
    <w:rsid w:val="000419B9"/>
    <w:rsid w:val="00043B28"/>
    <w:rsid w:val="0004684A"/>
    <w:rsid w:val="00062C72"/>
    <w:rsid w:val="0008676D"/>
    <w:rsid w:val="000867BF"/>
    <w:rsid w:val="000A0C83"/>
    <w:rsid w:val="000B18B3"/>
    <w:rsid w:val="000B27AA"/>
    <w:rsid w:val="000B699A"/>
    <w:rsid w:val="000C1609"/>
    <w:rsid w:val="000D5024"/>
    <w:rsid w:val="000E6696"/>
    <w:rsid w:val="000F581C"/>
    <w:rsid w:val="00107095"/>
    <w:rsid w:val="00110A3D"/>
    <w:rsid w:val="00110D1D"/>
    <w:rsid w:val="00112D68"/>
    <w:rsid w:val="00114EF3"/>
    <w:rsid w:val="00134FA7"/>
    <w:rsid w:val="001362C8"/>
    <w:rsid w:val="00144D47"/>
    <w:rsid w:val="001465D3"/>
    <w:rsid w:val="001602BD"/>
    <w:rsid w:val="00163317"/>
    <w:rsid w:val="00170936"/>
    <w:rsid w:val="001743F3"/>
    <w:rsid w:val="001773A9"/>
    <w:rsid w:val="001A089E"/>
    <w:rsid w:val="001A0A6F"/>
    <w:rsid w:val="001A4894"/>
    <w:rsid w:val="001A4A0C"/>
    <w:rsid w:val="001B02AB"/>
    <w:rsid w:val="001D1673"/>
    <w:rsid w:val="001E5C79"/>
    <w:rsid w:val="001E5F3F"/>
    <w:rsid w:val="001E6937"/>
    <w:rsid w:val="0020283A"/>
    <w:rsid w:val="00204F02"/>
    <w:rsid w:val="00212BDC"/>
    <w:rsid w:val="002169B7"/>
    <w:rsid w:val="00230D9A"/>
    <w:rsid w:val="002519CB"/>
    <w:rsid w:val="002548F7"/>
    <w:rsid w:val="00270AAC"/>
    <w:rsid w:val="00273A8E"/>
    <w:rsid w:val="00275FE2"/>
    <w:rsid w:val="0029158E"/>
    <w:rsid w:val="00292196"/>
    <w:rsid w:val="00295FB0"/>
    <w:rsid w:val="002A5FD8"/>
    <w:rsid w:val="002C0EC9"/>
    <w:rsid w:val="002C523C"/>
    <w:rsid w:val="002E1BB1"/>
    <w:rsid w:val="002E1D3B"/>
    <w:rsid w:val="002E6553"/>
    <w:rsid w:val="002F122D"/>
    <w:rsid w:val="002F1E4B"/>
    <w:rsid w:val="00324E72"/>
    <w:rsid w:val="00325FAE"/>
    <w:rsid w:val="00331153"/>
    <w:rsid w:val="00335268"/>
    <w:rsid w:val="00340D29"/>
    <w:rsid w:val="00352A05"/>
    <w:rsid w:val="00354854"/>
    <w:rsid w:val="0038051B"/>
    <w:rsid w:val="00381176"/>
    <w:rsid w:val="003811B2"/>
    <w:rsid w:val="00381F0B"/>
    <w:rsid w:val="0039220E"/>
    <w:rsid w:val="00392400"/>
    <w:rsid w:val="00392ECC"/>
    <w:rsid w:val="003A7D88"/>
    <w:rsid w:val="003B47A6"/>
    <w:rsid w:val="003B7D51"/>
    <w:rsid w:val="003C51C9"/>
    <w:rsid w:val="003C5CC6"/>
    <w:rsid w:val="00407CE2"/>
    <w:rsid w:val="00423688"/>
    <w:rsid w:val="0043406D"/>
    <w:rsid w:val="004360DB"/>
    <w:rsid w:val="00446FB6"/>
    <w:rsid w:val="00451EDD"/>
    <w:rsid w:val="00457AC4"/>
    <w:rsid w:val="00461301"/>
    <w:rsid w:val="00476078"/>
    <w:rsid w:val="00481764"/>
    <w:rsid w:val="00483307"/>
    <w:rsid w:val="00497D02"/>
    <w:rsid w:val="004A6450"/>
    <w:rsid w:val="004A6E94"/>
    <w:rsid w:val="004B1C74"/>
    <w:rsid w:val="004C3E76"/>
    <w:rsid w:val="004D4F5E"/>
    <w:rsid w:val="004E6BB8"/>
    <w:rsid w:val="004F2749"/>
    <w:rsid w:val="00501DD6"/>
    <w:rsid w:val="00503E36"/>
    <w:rsid w:val="00512C4F"/>
    <w:rsid w:val="00517E11"/>
    <w:rsid w:val="005474B5"/>
    <w:rsid w:val="00560431"/>
    <w:rsid w:val="00566F0E"/>
    <w:rsid w:val="00566F0F"/>
    <w:rsid w:val="00567ED6"/>
    <w:rsid w:val="0058105F"/>
    <w:rsid w:val="0058505E"/>
    <w:rsid w:val="005853BA"/>
    <w:rsid w:val="005A40CB"/>
    <w:rsid w:val="005A5267"/>
    <w:rsid w:val="005C0E27"/>
    <w:rsid w:val="005C2DB9"/>
    <w:rsid w:val="005C4EDE"/>
    <w:rsid w:val="005C560F"/>
    <w:rsid w:val="005D37F0"/>
    <w:rsid w:val="005E385C"/>
    <w:rsid w:val="005F1227"/>
    <w:rsid w:val="00607A91"/>
    <w:rsid w:val="0062018D"/>
    <w:rsid w:val="00627BA7"/>
    <w:rsid w:val="00631A0F"/>
    <w:rsid w:val="00632F48"/>
    <w:rsid w:val="00640A99"/>
    <w:rsid w:val="006557CD"/>
    <w:rsid w:val="0065743C"/>
    <w:rsid w:val="00657DA6"/>
    <w:rsid w:val="006706F7"/>
    <w:rsid w:val="00672B2A"/>
    <w:rsid w:val="00673005"/>
    <w:rsid w:val="00680E7C"/>
    <w:rsid w:val="00681372"/>
    <w:rsid w:val="00683D73"/>
    <w:rsid w:val="00685FF9"/>
    <w:rsid w:val="0068666D"/>
    <w:rsid w:val="006A074A"/>
    <w:rsid w:val="006A1930"/>
    <w:rsid w:val="006A1ADB"/>
    <w:rsid w:val="006B0EE6"/>
    <w:rsid w:val="006B2F50"/>
    <w:rsid w:val="006C0091"/>
    <w:rsid w:val="006C3AC8"/>
    <w:rsid w:val="006D2268"/>
    <w:rsid w:val="006D3FFF"/>
    <w:rsid w:val="006D44B1"/>
    <w:rsid w:val="006D4741"/>
    <w:rsid w:val="006D633D"/>
    <w:rsid w:val="006D6349"/>
    <w:rsid w:val="006E1236"/>
    <w:rsid w:val="006F2B05"/>
    <w:rsid w:val="006F7384"/>
    <w:rsid w:val="007041EF"/>
    <w:rsid w:val="00722BF5"/>
    <w:rsid w:val="0074096B"/>
    <w:rsid w:val="00746BB9"/>
    <w:rsid w:val="007510D1"/>
    <w:rsid w:val="00760A0B"/>
    <w:rsid w:val="00762D24"/>
    <w:rsid w:val="007714A9"/>
    <w:rsid w:val="00783890"/>
    <w:rsid w:val="007A0702"/>
    <w:rsid w:val="007B2FBE"/>
    <w:rsid w:val="007E2C2E"/>
    <w:rsid w:val="007E2CCF"/>
    <w:rsid w:val="007E74DB"/>
    <w:rsid w:val="007F383A"/>
    <w:rsid w:val="007F7932"/>
    <w:rsid w:val="008160B0"/>
    <w:rsid w:val="00841A9C"/>
    <w:rsid w:val="00850F8F"/>
    <w:rsid w:val="008653B5"/>
    <w:rsid w:val="00865951"/>
    <w:rsid w:val="008A1C76"/>
    <w:rsid w:val="008B0F40"/>
    <w:rsid w:val="008B6309"/>
    <w:rsid w:val="008B7A99"/>
    <w:rsid w:val="008C13CD"/>
    <w:rsid w:val="008C3D76"/>
    <w:rsid w:val="008C53A5"/>
    <w:rsid w:val="008D30DC"/>
    <w:rsid w:val="008E2B40"/>
    <w:rsid w:val="008F4614"/>
    <w:rsid w:val="008F7B4D"/>
    <w:rsid w:val="009141DD"/>
    <w:rsid w:val="00914D9A"/>
    <w:rsid w:val="0092408C"/>
    <w:rsid w:val="009318DA"/>
    <w:rsid w:val="009552EE"/>
    <w:rsid w:val="009748D0"/>
    <w:rsid w:val="009B48D0"/>
    <w:rsid w:val="009E5FEC"/>
    <w:rsid w:val="009F1313"/>
    <w:rsid w:val="009F5487"/>
    <w:rsid w:val="00A07284"/>
    <w:rsid w:val="00A136B2"/>
    <w:rsid w:val="00A13808"/>
    <w:rsid w:val="00A13E37"/>
    <w:rsid w:val="00A17C71"/>
    <w:rsid w:val="00A21EB6"/>
    <w:rsid w:val="00A30FE5"/>
    <w:rsid w:val="00A34F28"/>
    <w:rsid w:val="00A35727"/>
    <w:rsid w:val="00A543B3"/>
    <w:rsid w:val="00A70EC2"/>
    <w:rsid w:val="00A81D50"/>
    <w:rsid w:val="00A834CE"/>
    <w:rsid w:val="00A92C06"/>
    <w:rsid w:val="00A95E1C"/>
    <w:rsid w:val="00AC2087"/>
    <w:rsid w:val="00AD7812"/>
    <w:rsid w:val="00AF27CA"/>
    <w:rsid w:val="00B022AE"/>
    <w:rsid w:val="00B0791A"/>
    <w:rsid w:val="00B143BE"/>
    <w:rsid w:val="00B1580C"/>
    <w:rsid w:val="00B24FB3"/>
    <w:rsid w:val="00B2744E"/>
    <w:rsid w:val="00B44F75"/>
    <w:rsid w:val="00B4743A"/>
    <w:rsid w:val="00B761A2"/>
    <w:rsid w:val="00B9479D"/>
    <w:rsid w:val="00BA69A9"/>
    <w:rsid w:val="00BC46A7"/>
    <w:rsid w:val="00BF0387"/>
    <w:rsid w:val="00BF79F2"/>
    <w:rsid w:val="00C04B29"/>
    <w:rsid w:val="00C0517D"/>
    <w:rsid w:val="00C32680"/>
    <w:rsid w:val="00C45F13"/>
    <w:rsid w:val="00C57BE5"/>
    <w:rsid w:val="00C64C89"/>
    <w:rsid w:val="00C873BB"/>
    <w:rsid w:val="00CA16E0"/>
    <w:rsid w:val="00CA78F7"/>
    <w:rsid w:val="00CB50F0"/>
    <w:rsid w:val="00CC2566"/>
    <w:rsid w:val="00CC4340"/>
    <w:rsid w:val="00CD23F3"/>
    <w:rsid w:val="00CD4350"/>
    <w:rsid w:val="00CD5A45"/>
    <w:rsid w:val="00CD6FC7"/>
    <w:rsid w:val="00CD7B03"/>
    <w:rsid w:val="00CE7E85"/>
    <w:rsid w:val="00CF093E"/>
    <w:rsid w:val="00CF4372"/>
    <w:rsid w:val="00D00A81"/>
    <w:rsid w:val="00D031F4"/>
    <w:rsid w:val="00D13024"/>
    <w:rsid w:val="00D14F6D"/>
    <w:rsid w:val="00D16701"/>
    <w:rsid w:val="00D35B2D"/>
    <w:rsid w:val="00D37B61"/>
    <w:rsid w:val="00D4586B"/>
    <w:rsid w:val="00D45999"/>
    <w:rsid w:val="00D5685C"/>
    <w:rsid w:val="00D578E5"/>
    <w:rsid w:val="00D81FCA"/>
    <w:rsid w:val="00D91B94"/>
    <w:rsid w:val="00DA17EC"/>
    <w:rsid w:val="00DB40DB"/>
    <w:rsid w:val="00DB5625"/>
    <w:rsid w:val="00DD436F"/>
    <w:rsid w:val="00DD5A29"/>
    <w:rsid w:val="00DE53DD"/>
    <w:rsid w:val="00E044CB"/>
    <w:rsid w:val="00E14F21"/>
    <w:rsid w:val="00E261CF"/>
    <w:rsid w:val="00E74758"/>
    <w:rsid w:val="00E74979"/>
    <w:rsid w:val="00E76156"/>
    <w:rsid w:val="00E81D75"/>
    <w:rsid w:val="00E93E02"/>
    <w:rsid w:val="00EB5C5C"/>
    <w:rsid w:val="00EB6136"/>
    <w:rsid w:val="00EC6678"/>
    <w:rsid w:val="00EE0CB0"/>
    <w:rsid w:val="00EE4BF7"/>
    <w:rsid w:val="00EF6365"/>
    <w:rsid w:val="00EF77D4"/>
    <w:rsid w:val="00F10BC1"/>
    <w:rsid w:val="00F24BCC"/>
    <w:rsid w:val="00F3100C"/>
    <w:rsid w:val="00F46E51"/>
    <w:rsid w:val="00F5471D"/>
    <w:rsid w:val="00F57FCA"/>
    <w:rsid w:val="00F83C10"/>
    <w:rsid w:val="00FA6309"/>
    <w:rsid w:val="00FB4805"/>
    <w:rsid w:val="00FB4980"/>
    <w:rsid w:val="00FC6128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CB03"/>
  <w15:docId w15:val="{3FC7969D-9E06-4FC0-B94A-33C8A6BD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2C0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634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634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10D1D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25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tilsynet.dk/Tilsyn/Tilsynsreaktioner/Vejledende-fortolkninger/Laengerevarende-koncerninterne-eksponeringer-Fondmaeglerselskaber_300623" TargetMode="External"/><Relationship Id="rId13" Type="http://schemas.openxmlformats.org/officeDocument/2006/relationships/hyperlink" Target="https://www.esma.europa.eu/press-news/esma-news/esma-updates-its-guidance-definition-advice-supervisory-briefing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sma.europa.eu/press-news/esma-news/new-manual-post-trade-transparency-available" TargetMode="External"/><Relationship Id="rId17" Type="http://schemas.openxmlformats.org/officeDocument/2006/relationships/hyperlink" Target="mailto:cas@capitallawcph.d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ba.europa.eu/eba-publishes-final-guidance-overall-recovery-capacity-recovery-plann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sma.europa.eu/press-news/esma-news/esma-highlights-risks-arising-securities-lending-retail-investors" TargetMode="External"/><Relationship Id="rId10" Type="http://schemas.openxmlformats.org/officeDocument/2006/relationships/hyperlink" Target="https://www.eba.europa.eu/eba-publishes-fourth-opinion-%C2%A0-money-laundering-and-terrorist-financing-risks-across-e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ba.europa.eu/eba-encourages-timely-preparatory-steps-towards-application-micar-asset-referenced-and-electronic" TargetMode="External"/><Relationship Id="rId14" Type="http://schemas.openxmlformats.org/officeDocument/2006/relationships/hyperlink" Target="https://www.esma.europa.eu/sites/default/files/2023-07/ESMA35-335435667-4342_-_Public_Statement_securities_lending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19" ma:contentTypeDescription="Opret et nyt dokument." ma:contentTypeScope="" ma:versionID="63d3ae8bfb4707f5f003d649ed01e05a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65d1a4489584d8d12ead7139924ff71e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2B265-B32A-4465-AF96-C7BB8256F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66DC4-D041-46F2-8ACE-688B31A2C8DA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3.xml><?xml version="1.0" encoding="utf-8"?>
<ds:datastoreItem xmlns:ds="http://schemas.openxmlformats.org/officeDocument/2006/customXml" ds:itemID="{6128660B-3DF7-4032-930E-18E9750B2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45</cp:revision>
  <cp:lastPrinted>2023-08-01T12:57:00Z</cp:lastPrinted>
  <dcterms:created xsi:type="dcterms:W3CDTF">2023-08-01T13:56:00Z</dcterms:created>
  <dcterms:modified xsi:type="dcterms:W3CDTF">2023-08-01T14:47:00Z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