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6E6CF2BD" w:rsidR="00BE4C01" w:rsidRDefault="00BE4C01" w:rsidP="00BE4C01">
      <w:pPr>
        <w:jc w:val="both"/>
      </w:pPr>
      <w:r>
        <w:t>O</w:t>
      </w:r>
      <w:r w:rsidRPr="005A5267">
        <w:t xml:space="preserve">pdatering for </w:t>
      </w:r>
      <w:r w:rsidR="00286E5B">
        <w:t>oktober</w:t>
      </w:r>
      <w:r w:rsidRPr="005A5267">
        <w:t xml:space="preserve"> </w:t>
      </w:r>
      <w:r>
        <w:t xml:space="preserve">måned </w:t>
      </w:r>
      <w:r w:rsidRPr="005A5267">
        <w:t>2023</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24F2611F" w14:textId="77777777" w:rsidR="00BE4C01" w:rsidRDefault="00BE4C01"/>
          <w:p w14:paraId="331EB973" w14:textId="44AA86B2" w:rsidR="005663B0" w:rsidRDefault="005663B0">
            <w:r>
              <w:t xml:space="preserve">Vejledning fra Finanstilsynet om </w:t>
            </w:r>
            <w:r w:rsidR="00893C48">
              <w:t>bæredygtig finansiering i form af ”</w:t>
            </w:r>
            <w:r>
              <w:t>omstillingsfinansiering</w:t>
            </w:r>
            <w:r w:rsidR="00893C48">
              <w:t xml:space="preserve">” </w:t>
            </w:r>
            <w:hyperlink w:anchor="A" w:history="1">
              <w:r w:rsidR="00893C48" w:rsidRPr="00893C48">
                <w:rPr>
                  <w:rStyle w:val="Hyperlink"/>
                </w:rPr>
                <w:t>lin</w:t>
              </w:r>
              <w:r w:rsidR="00893C48" w:rsidRPr="00893C48">
                <w:rPr>
                  <w:rStyle w:val="Hyperlink"/>
                </w:rPr>
                <w:t>k</w:t>
              </w:r>
            </w:hyperlink>
          </w:p>
          <w:p w14:paraId="01189AA0" w14:textId="77777777" w:rsidR="00893C48" w:rsidRDefault="00893C48"/>
          <w:p w14:paraId="216A30EE" w14:textId="637E98F6" w:rsidR="00893C48" w:rsidRDefault="00D2230E">
            <w:r>
              <w:t>Forlængelse af overgangsperiode for</w:t>
            </w:r>
            <w:r w:rsidR="00D564C0">
              <w:t xml:space="preserve"> anvendelse af</w:t>
            </w:r>
            <w:r>
              <w:t xml:space="preserve"> benchmarks fra tredjelande </w:t>
            </w:r>
            <w:hyperlink w:anchor="B" w:history="1">
              <w:r w:rsidRPr="00D2230E">
                <w:rPr>
                  <w:rStyle w:val="Hyperlink"/>
                </w:rPr>
                <w:t>link</w:t>
              </w:r>
            </w:hyperlink>
          </w:p>
          <w:p w14:paraId="43423F9C" w14:textId="77777777" w:rsidR="00D2230E" w:rsidRDefault="00D2230E"/>
          <w:p w14:paraId="0F9745D6" w14:textId="268E59AD" w:rsidR="00D2230E" w:rsidRDefault="00D564C0">
            <w:r>
              <w:t xml:space="preserve">Overgang til </w:t>
            </w:r>
            <w:r w:rsidR="00BA11BB">
              <w:t xml:space="preserve">anvendelsen af </w:t>
            </w:r>
            <w:r w:rsidR="00BA11BB" w:rsidRPr="00BA11BB">
              <w:t>Markets in Crypto-Assets Regulation (</w:t>
            </w:r>
            <w:r w:rsidR="00BA11BB" w:rsidRPr="0070793F">
              <w:t>MiCA</w:t>
            </w:r>
            <w:r w:rsidR="00BA11BB" w:rsidRPr="00BA11BB">
              <w:t>)</w:t>
            </w:r>
            <w:r w:rsidR="00BA11BB">
              <w:t xml:space="preserve"> </w:t>
            </w:r>
            <w:hyperlink w:anchor="C" w:history="1">
              <w:r w:rsidR="00BA11BB" w:rsidRPr="00BA11BB">
                <w:rPr>
                  <w:rStyle w:val="Hyperlink"/>
                </w:rPr>
                <w:t>link</w:t>
              </w:r>
            </w:hyperlink>
          </w:p>
          <w:p w14:paraId="774E809C" w14:textId="77777777" w:rsidR="005A44D4" w:rsidRDefault="005A44D4"/>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076162E6" w14:textId="77777777" w:rsidR="00BE4C01" w:rsidRDefault="00BE4C01"/>
          <w:p w14:paraId="087B2CBE" w14:textId="77777777" w:rsidR="00387461" w:rsidRPr="00387461" w:rsidRDefault="00387461" w:rsidP="00387461">
            <w:r w:rsidRPr="00387461">
              <w:t>(Intet nyt)</w:t>
            </w:r>
          </w:p>
          <w:p w14:paraId="1136A53C" w14:textId="77777777" w:rsidR="00387461" w:rsidRDefault="00387461"/>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0C23B253" w14:textId="77777777" w:rsidR="00BE4C01" w:rsidRDefault="00BE4C01"/>
          <w:p w14:paraId="18226588" w14:textId="77777777" w:rsidR="00A17141" w:rsidRPr="00A17141" w:rsidRDefault="00A17141" w:rsidP="00A17141">
            <w:pPr>
              <w:rPr>
                <w:b/>
                <w:bCs/>
              </w:rPr>
            </w:pPr>
            <w:bookmarkStart w:id="0" w:name="A"/>
            <w:r w:rsidRPr="00A17141">
              <w:rPr>
                <w:b/>
                <w:bCs/>
              </w:rPr>
              <w:t>Omstillingsfinansiering i den finansielle regulering</w:t>
            </w:r>
            <w:bookmarkEnd w:id="0"/>
          </w:p>
          <w:p w14:paraId="7B3BC5B5" w14:textId="77777777" w:rsidR="00A17141" w:rsidRDefault="00A17141" w:rsidP="00A17141"/>
          <w:p w14:paraId="7A9DD0D1" w14:textId="1B5E3132" w:rsidR="00A17141" w:rsidRDefault="00A17141" w:rsidP="00A17141">
            <w:r w:rsidRPr="00A17141">
              <w:t>Bæredygtig finansiering handler om at finansiere økonomiske aktiviteter i realøkonomien, som enten allerede er bæredygtige, eller som gennemgår en omstilling for at blive bæredygtige. Finansiering af omstillingsaktiviteter kaldes ”omstillingsfinansiering”, men er ikke entydigt defineret i lovgivningen. Finanstilsynet beskriver i et nyt notat hvordan den finansielle regulering forholder sig til ”omstillingsfinansiering” og hvilke elementer markedsdeltagere bør være opmærksomme på.</w:t>
            </w:r>
            <w:r w:rsidR="007952BD">
              <w:t xml:space="preserve"> Herunder indgår der i notatet </w:t>
            </w:r>
            <w:r w:rsidR="009E045A">
              <w:t>betragtninger i forhold til SFDR</w:t>
            </w:r>
            <w:r w:rsidR="009C38FB">
              <w:t xml:space="preserve">. </w:t>
            </w:r>
          </w:p>
          <w:p w14:paraId="56EC4047" w14:textId="77777777" w:rsidR="00AB27E1" w:rsidRPr="00A17141" w:rsidRDefault="00AB27E1" w:rsidP="00A17141"/>
          <w:p w14:paraId="1360EDE5" w14:textId="77777777" w:rsidR="00A17141" w:rsidRPr="00A17141" w:rsidRDefault="00A17141" w:rsidP="00A17141">
            <w:r w:rsidRPr="00A17141">
              <w:t xml:space="preserve">(Offentliggjort den 31. oktober 2023, </w:t>
            </w:r>
            <w:hyperlink r:id="rId8" w:history="1">
              <w:r w:rsidRPr="00A17141">
                <w:rPr>
                  <w:rStyle w:val="Hyperlink"/>
                </w:rPr>
                <w:t>link</w:t>
              </w:r>
            </w:hyperlink>
            <w:r w:rsidRPr="00A17141">
              <w:t>)</w:t>
            </w:r>
          </w:p>
          <w:p w14:paraId="2BE89B52" w14:textId="77777777" w:rsidR="00A17141" w:rsidRDefault="00A17141"/>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32B1B4EE" w14:textId="77777777" w:rsidR="00BE4C01" w:rsidRDefault="00BE4C01"/>
          <w:p w14:paraId="3FCD2AEB" w14:textId="77777777" w:rsidR="00387461" w:rsidRPr="00387461" w:rsidRDefault="00387461" w:rsidP="00387461">
            <w:r w:rsidRPr="00387461">
              <w:t>(Intet nyt)</w:t>
            </w:r>
          </w:p>
          <w:p w14:paraId="010E559B" w14:textId="77777777" w:rsidR="00387461" w:rsidRDefault="00387461"/>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32EBCEE0" w14:textId="77777777" w:rsidR="00BE4C01" w:rsidRDefault="00BE4C01"/>
          <w:p w14:paraId="104FAF8E" w14:textId="77777777" w:rsidR="006E1BC0" w:rsidRPr="006E1BC0" w:rsidRDefault="006E1BC0" w:rsidP="006E1BC0">
            <w:pPr>
              <w:rPr>
                <w:b/>
                <w:bCs/>
              </w:rPr>
            </w:pPr>
            <w:bookmarkStart w:id="1" w:name="B"/>
            <w:r w:rsidRPr="006E1BC0">
              <w:rPr>
                <w:b/>
                <w:bCs/>
              </w:rPr>
              <w:t>Kommissionens delegerede forordning (EU) 2023/2222 af 14. juli 2023 om forlængelse af den overgangsperiode, der er fastsat for benchmarks fra tredjelande i artikel 51, stk. 5, i Europa-Parlamentets og Rådets forordning (EU) 2016/1011</w:t>
            </w:r>
          </w:p>
          <w:bookmarkEnd w:id="1"/>
          <w:p w14:paraId="65CE0258" w14:textId="77777777" w:rsidR="00413D61" w:rsidRDefault="00413D61" w:rsidP="006E1BC0"/>
          <w:p w14:paraId="27E36700" w14:textId="4E5904EB" w:rsidR="003A1DD9" w:rsidRDefault="006E1BC0" w:rsidP="006E1BC0">
            <w:r w:rsidRPr="006E1BC0">
              <w:t>Overgangsperioden omhandlet i artikel 51, stk. 5, i benchmarkforordningen forlænges indtil den 31. december 2025.</w:t>
            </w:r>
            <w:r w:rsidR="008245D5">
              <w:t xml:space="preserve"> Dette muliggør </w:t>
            </w:r>
            <w:r w:rsidR="007A3DF2">
              <w:t xml:space="preserve">fortsat </w:t>
            </w:r>
            <w:r w:rsidR="008245D5">
              <w:t>anvendelse af benchmarks fra tredjelande</w:t>
            </w:r>
            <w:r w:rsidR="00F858E7">
              <w:t xml:space="preserve"> </w:t>
            </w:r>
            <w:r w:rsidR="00EA2A0A" w:rsidRPr="00EA2A0A">
              <w:t>frem til 31. december 2025</w:t>
            </w:r>
            <w:r w:rsidR="00632EC4">
              <w:t xml:space="preserve"> </w:t>
            </w:r>
            <w:r w:rsidR="00F858E7">
              <w:t>for eksempelvis fondsmæglerselskaber</w:t>
            </w:r>
            <w:r w:rsidR="000124DD">
              <w:t xml:space="preserve">, selv om </w:t>
            </w:r>
            <w:r w:rsidR="00BA601E">
              <w:t>der ikke er truffet beslutning</w:t>
            </w:r>
            <w:r w:rsidR="004C2CB3">
              <w:t>er i EU om anerkendelse</w:t>
            </w:r>
            <w:r w:rsidR="007526CF">
              <w:t xml:space="preserve"> af ækvivalens, validering eller lignende</w:t>
            </w:r>
            <w:r w:rsidR="007A3DF2">
              <w:t xml:space="preserve">. Forlængelsen skal ses i sammenhæng med Kommissionens </w:t>
            </w:r>
            <w:r w:rsidR="003A1DD9">
              <w:t xml:space="preserve">nylige </w:t>
            </w:r>
            <w:r w:rsidR="007A3DF2">
              <w:t>forslag om ændringer i benchmarkforordningen</w:t>
            </w:r>
            <w:r w:rsidR="003A1DD9">
              <w:t>, herunder i forhold til benchmarks for tredjelande, som nu skal forhandles.</w:t>
            </w:r>
          </w:p>
          <w:p w14:paraId="5C0EA1EB" w14:textId="05FF22B6" w:rsidR="006E1BC0" w:rsidRPr="006E1BC0" w:rsidRDefault="008245D5" w:rsidP="006E1BC0">
            <w:r>
              <w:t xml:space="preserve"> </w:t>
            </w:r>
          </w:p>
          <w:p w14:paraId="1EE71C81" w14:textId="7F4F5C99" w:rsidR="006E1BC0" w:rsidRDefault="006E1BC0">
            <w:r w:rsidRPr="006E1BC0">
              <w:lastRenderedPageBreak/>
              <w:t xml:space="preserve">(Offentliggjort den 23. oktober 2023, </w:t>
            </w:r>
            <w:hyperlink r:id="rId9" w:history="1">
              <w:r w:rsidRPr="006E1BC0">
                <w:rPr>
                  <w:rStyle w:val="Hyperlink"/>
                </w:rPr>
                <w:t>link</w:t>
              </w:r>
            </w:hyperlink>
            <w:r w:rsidRPr="006E1BC0">
              <w:t>)</w:t>
            </w:r>
          </w:p>
          <w:p w14:paraId="570C0B58" w14:textId="77777777" w:rsidR="006E1BC0" w:rsidRDefault="006E1BC0"/>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lastRenderedPageBreak/>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530626A2" w14:textId="77777777" w:rsidR="00BE4C01" w:rsidRDefault="00BE4C01"/>
          <w:p w14:paraId="2F2F2446" w14:textId="77777777" w:rsidR="00387461" w:rsidRPr="00387461" w:rsidRDefault="00387461" w:rsidP="00387461">
            <w:r w:rsidRPr="00387461">
              <w:t>(Intet nyt)</w:t>
            </w:r>
          </w:p>
          <w:p w14:paraId="5E1E2D1B" w14:textId="77777777" w:rsidR="00387461" w:rsidRDefault="00387461"/>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441421EA" w14:textId="77777777" w:rsidR="0070793F" w:rsidRDefault="0070793F" w:rsidP="0070793F">
            <w:pPr>
              <w:rPr>
                <w:b/>
                <w:bCs/>
              </w:rPr>
            </w:pPr>
          </w:p>
          <w:p w14:paraId="64077B00" w14:textId="4409B93D" w:rsidR="0070793F" w:rsidRPr="0070793F" w:rsidRDefault="0070793F" w:rsidP="0070793F">
            <w:pPr>
              <w:rPr>
                <w:b/>
                <w:bCs/>
              </w:rPr>
            </w:pPr>
            <w:bookmarkStart w:id="2" w:name="C"/>
            <w:r w:rsidRPr="0070793F">
              <w:rPr>
                <w:b/>
                <w:bCs/>
              </w:rPr>
              <w:t>ESMA opfordrer til forberedelser til en gnidningsløs overgang til MiCA</w:t>
            </w:r>
            <w:bookmarkEnd w:id="2"/>
          </w:p>
          <w:p w14:paraId="75D9EA98" w14:textId="77777777" w:rsidR="0070793F" w:rsidRDefault="0070793F" w:rsidP="0070793F"/>
          <w:p w14:paraId="0E068C37" w14:textId="2E979386" w:rsidR="0070793F" w:rsidRPr="0070793F" w:rsidRDefault="0070793F" w:rsidP="0070793F">
            <w:r w:rsidRPr="0070793F">
              <w:t xml:space="preserve">ESMA har offentliggjort et brev til Rådet samt en erklæring til markedsdeltagerne og de kompetente myndigheder for at tilskynde til forberedelserne til en gnidningsløs overgang til </w:t>
            </w:r>
            <w:r w:rsidR="00F62133">
              <w:t xml:space="preserve">Markets in Crypto-Assets Regulation </w:t>
            </w:r>
            <w:r w:rsidR="00C033F3">
              <w:t>(</w:t>
            </w:r>
            <w:r w:rsidRPr="0070793F">
              <w:t>MiCA</w:t>
            </w:r>
            <w:r w:rsidR="00C033F3">
              <w:t>)</w:t>
            </w:r>
            <w:r w:rsidRPr="0070793F">
              <w:t xml:space="preserve">. </w:t>
            </w:r>
          </w:p>
          <w:p w14:paraId="2C3DCBF6" w14:textId="4591ED96" w:rsidR="0070793F" w:rsidRDefault="0070793F" w:rsidP="0070793F">
            <w:r w:rsidRPr="0070793F">
              <w:t xml:space="preserve">ESMA har </w:t>
            </w:r>
            <w:r w:rsidR="006F2D26">
              <w:t>desuden</w:t>
            </w:r>
            <w:r w:rsidRPr="0070793F">
              <w:t xml:space="preserve"> offentliggjort en erklæring rettet til enheder, der leverer kryptoaktivtjenester, og de nationale kompetente myndigheder, der vil være ansvarlige for deres tilsyn, indeholdende en liste over forventningerne til hver enkelt fra nu af og indtil udløbet af MiCA-overgangsperioden. </w:t>
            </w:r>
          </w:p>
          <w:p w14:paraId="596A07FD" w14:textId="1B404DFB" w:rsidR="00AB27E1" w:rsidRDefault="00A37CD6" w:rsidP="0070793F">
            <w:r>
              <w:t>I forhold til</w:t>
            </w:r>
            <w:r w:rsidR="006F2D26">
              <w:t xml:space="preserve"> danske</w:t>
            </w:r>
            <w:r>
              <w:t xml:space="preserve"> fondsmæglerselskab</w:t>
            </w:r>
            <w:r w:rsidR="00E64B93">
              <w:t xml:space="preserve">er </w:t>
            </w:r>
            <w:r w:rsidR="00471D38">
              <w:t>kan det bemærkes, at de efter MiCA</w:t>
            </w:r>
            <w:r w:rsidR="00C72F54">
              <w:t>’s anvendelsestidspunkt</w:t>
            </w:r>
            <w:r w:rsidR="00471D38">
              <w:t xml:space="preserve"> vil kunne </w:t>
            </w:r>
            <w:r w:rsidR="00E64B93">
              <w:t xml:space="preserve">levere kryptoaktivtjenester svarende til de investeringstjenester og -aktiviteter, som </w:t>
            </w:r>
            <w:r w:rsidR="00E0343E">
              <w:t xml:space="preserve">de </w:t>
            </w:r>
            <w:r w:rsidR="00E64B93">
              <w:t>er meddelt tilladelse</w:t>
            </w:r>
            <w:r w:rsidR="005E1892">
              <w:t xml:space="preserve"> til</w:t>
            </w:r>
            <w:r w:rsidR="00E64B93">
              <w:t xml:space="preserve"> </w:t>
            </w:r>
            <w:r w:rsidR="00E0343E">
              <w:t xml:space="preserve">efter </w:t>
            </w:r>
            <w:r w:rsidR="001006A5">
              <w:t>MiFID II</w:t>
            </w:r>
            <w:r w:rsidR="00E64B93">
              <w:t xml:space="preserve">, </w:t>
            </w:r>
            <w:r w:rsidR="005E5E8D">
              <w:t>på baggrund af en meddelelsesprocedure til Finanstilsynet</w:t>
            </w:r>
            <w:r w:rsidR="00DC02E9">
              <w:t xml:space="preserve">. Inden tidspunktet </w:t>
            </w:r>
            <w:r w:rsidR="00D143B6">
              <w:t>for forordningens anvendelse</w:t>
            </w:r>
            <w:r w:rsidR="00DC02E9">
              <w:t xml:space="preserve"> har </w:t>
            </w:r>
            <w:r w:rsidR="00457E62">
              <w:t>danske fondsmæglerselskaber dog ikke denne mulighed</w:t>
            </w:r>
            <w:r w:rsidR="00D143B6">
              <w:t>.</w:t>
            </w:r>
          </w:p>
          <w:p w14:paraId="5335BD10" w14:textId="406AB9E3" w:rsidR="00A37CD6" w:rsidRPr="0070793F" w:rsidRDefault="00227A46" w:rsidP="0070793F">
            <w:r>
              <w:t xml:space="preserve"> </w:t>
            </w:r>
          </w:p>
          <w:p w14:paraId="59C655C3" w14:textId="77777777" w:rsidR="0070793F" w:rsidRPr="0070793F" w:rsidRDefault="0070793F" w:rsidP="0070793F">
            <w:r w:rsidRPr="0070793F">
              <w:t xml:space="preserve">(Offentliggjort den 17. oktober 2023, </w:t>
            </w:r>
            <w:hyperlink r:id="rId10" w:history="1">
              <w:r w:rsidRPr="0070793F">
                <w:rPr>
                  <w:rStyle w:val="Hyperlink"/>
                </w:rPr>
                <w:t>lin</w:t>
              </w:r>
              <w:r w:rsidRPr="0070793F">
                <w:rPr>
                  <w:rStyle w:val="Hyperlink"/>
                </w:rPr>
                <w:t>k</w:t>
              </w:r>
            </w:hyperlink>
            <w:r w:rsidRPr="0070793F">
              <w:t>)</w:t>
            </w:r>
          </w:p>
          <w:p w14:paraId="29E632A3" w14:textId="77777777" w:rsidR="00BE4C01" w:rsidRDefault="00BE4C01"/>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2"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124DD"/>
    <w:rsid w:val="001006A5"/>
    <w:rsid w:val="001163B2"/>
    <w:rsid w:val="00136D9B"/>
    <w:rsid w:val="00160560"/>
    <w:rsid w:val="001D2801"/>
    <w:rsid w:val="00227A46"/>
    <w:rsid w:val="00265438"/>
    <w:rsid w:val="00286E5B"/>
    <w:rsid w:val="002B6B87"/>
    <w:rsid w:val="00344CB3"/>
    <w:rsid w:val="00387461"/>
    <w:rsid w:val="003A1DD9"/>
    <w:rsid w:val="003B7D51"/>
    <w:rsid w:val="00413D61"/>
    <w:rsid w:val="00427ED3"/>
    <w:rsid w:val="0045749D"/>
    <w:rsid w:val="00457E62"/>
    <w:rsid w:val="00471D38"/>
    <w:rsid w:val="004B76CB"/>
    <w:rsid w:val="004C2CB3"/>
    <w:rsid w:val="004D740B"/>
    <w:rsid w:val="00533C93"/>
    <w:rsid w:val="00534FE6"/>
    <w:rsid w:val="005663B0"/>
    <w:rsid w:val="005945AC"/>
    <w:rsid w:val="00594C22"/>
    <w:rsid w:val="005A44D4"/>
    <w:rsid w:val="005E1892"/>
    <w:rsid w:val="005E5E8D"/>
    <w:rsid w:val="00632EC4"/>
    <w:rsid w:val="006C0074"/>
    <w:rsid w:val="006E1BC0"/>
    <w:rsid w:val="006F2D26"/>
    <w:rsid w:val="0070793F"/>
    <w:rsid w:val="007526CF"/>
    <w:rsid w:val="007952BD"/>
    <w:rsid w:val="007A27A4"/>
    <w:rsid w:val="007A3DF2"/>
    <w:rsid w:val="008245D5"/>
    <w:rsid w:val="0089121B"/>
    <w:rsid w:val="00893C48"/>
    <w:rsid w:val="0090289D"/>
    <w:rsid w:val="009911B9"/>
    <w:rsid w:val="009C38FB"/>
    <w:rsid w:val="009E045A"/>
    <w:rsid w:val="00A17141"/>
    <w:rsid w:val="00A37CD6"/>
    <w:rsid w:val="00A97075"/>
    <w:rsid w:val="00AB27E1"/>
    <w:rsid w:val="00BA11BB"/>
    <w:rsid w:val="00BA601E"/>
    <w:rsid w:val="00BE4C01"/>
    <w:rsid w:val="00C033F3"/>
    <w:rsid w:val="00C21A39"/>
    <w:rsid w:val="00C72F54"/>
    <w:rsid w:val="00D143B6"/>
    <w:rsid w:val="00D2230E"/>
    <w:rsid w:val="00D564C0"/>
    <w:rsid w:val="00DC02E9"/>
    <w:rsid w:val="00DC3B81"/>
    <w:rsid w:val="00DD48DD"/>
    <w:rsid w:val="00E0343E"/>
    <w:rsid w:val="00E342E3"/>
    <w:rsid w:val="00E64B93"/>
    <w:rsid w:val="00EA2A0A"/>
    <w:rsid w:val="00F10BC1"/>
    <w:rsid w:val="00F62133"/>
    <w:rsid w:val="00F858E7"/>
    <w:rsid w:val="00FE09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6E1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stilsynet.dk/Nyheder-og-Presse/Sektornyt/2023/Omstillingsfinansiering_311023?link_id=e4ccbc5b-8f0e-4fdc-8d72-126015585215"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capitallawcph.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ma.europa.eu/press-news/esma-news/esma-encourages-preparations-smooth-transition-mica" TargetMode="External"/><Relationship Id="rId4" Type="http://schemas.openxmlformats.org/officeDocument/2006/relationships/numbering" Target="numbering.xml"/><Relationship Id="rId9" Type="http://schemas.openxmlformats.org/officeDocument/2006/relationships/hyperlink" Target="https://eur-lex.europa.eu/legal-content/DA/TXT/?uri=OJ:L_202302222"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19" ma:contentTypeDescription="Opret et nyt dokument." ma:contentTypeScope="" ma:versionID="63d3ae8bfb4707f5f003d649ed01e05a">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65d1a4489584d8d12ead7139924ff71e"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14798-C471-49A0-B983-D132A99CF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574</Words>
  <Characters>3508</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52</cp:revision>
  <dcterms:created xsi:type="dcterms:W3CDTF">2023-11-02T10:46:00Z</dcterms:created>
  <dcterms:modified xsi:type="dcterms:W3CDTF">2023-11-02T14:19:00Z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