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29169808" w:rsidR="00BE4C01" w:rsidRDefault="00BE4C01" w:rsidP="00BE4C01">
      <w:pPr>
        <w:jc w:val="both"/>
      </w:pPr>
      <w:r>
        <w:t>O</w:t>
      </w:r>
      <w:r w:rsidRPr="005A5267">
        <w:t xml:space="preserve">pdatering for </w:t>
      </w:r>
      <w:r w:rsidR="00E457E5">
        <w:t>december</w:t>
      </w:r>
      <w:r w:rsidRPr="005A5267">
        <w:t xml:space="preserve"> </w:t>
      </w:r>
      <w:r>
        <w:t xml:space="preserve">måned </w:t>
      </w:r>
      <w:r w:rsidRPr="005A5267">
        <w:t>2023</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5739341A" w14:textId="77777777" w:rsidR="00BE4C01" w:rsidRDefault="00BE4C01"/>
          <w:p w14:paraId="631B149F" w14:textId="1475833D" w:rsidR="00C85909" w:rsidRDefault="00C85909">
            <w:r>
              <w:t>Ny</w:t>
            </w:r>
            <w:r w:rsidR="00D14ECE">
              <w:t xml:space="preserve"> vejledning om risiko for overdreven gearing: </w:t>
            </w:r>
            <w:hyperlink w:anchor="A" w:history="1">
              <w:r w:rsidR="00D14ECE" w:rsidRPr="00D14ECE">
                <w:rPr>
                  <w:rStyle w:val="Hyperlink"/>
                </w:rPr>
                <w:t>link</w:t>
              </w:r>
            </w:hyperlink>
          </w:p>
          <w:p w14:paraId="3F04B45F" w14:textId="77777777" w:rsidR="00D14ECE" w:rsidRDefault="00D14ECE"/>
          <w:p w14:paraId="3646BD56" w14:textId="6962CC4A" w:rsidR="00D14ECE" w:rsidRDefault="002C7B1B">
            <w:r>
              <w:t xml:space="preserve">Nye EU-registre over oplysninger om finansielle virksomheder på vej: </w:t>
            </w:r>
            <w:hyperlink w:anchor="B" w:history="1">
              <w:r w:rsidRPr="002C7B1B">
                <w:rPr>
                  <w:rStyle w:val="Hyperlink"/>
                </w:rPr>
                <w:t>link</w:t>
              </w:r>
            </w:hyperlink>
          </w:p>
          <w:p w14:paraId="3FA7A712" w14:textId="77777777" w:rsidR="00BA6D9D" w:rsidRDefault="00BA6D9D"/>
          <w:p w14:paraId="185C7714" w14:textId="266A631C" w:rsidR="00BA6D9D" w:rsidRDefault="00BA6D9D">
            <w:r>
              <w:t xml:space="preserve">Ændringer i CSDR om bl.a. afviklingsdisciplin: </w:t>
            </w:r>
            <w:hyperlink w:anchor="C" w:history="1">
              <w:r w:rsidRPr="00BA6D9D">
                <w:rPr>
                  <w:rStyle w:val="Hyperlink"/>
                </w:rPr>
                <w:t>link</w:t>
              </w:r>
            </w:hyperlink>
          </w:p>
          <w:p w14:paraId="0410BC0A" w14:textId="77777777" w:rsidR="00BA6D9D" w:rsidRDefault="00BA6D9D"/>
          <w:p w14:paraId="5CE5EDE2" w14:textId="541BEA57" w:rsidR="00BA6D9D" w:rsidRDefault="00BA6D9D">
            <w:r>
              <w:t xml:space="preserve">Vejledning fra Kommissionen til niveau 2-regler under taksonomiforordningen: </w:t>
            </w:r>
            <w:hyperlink w:anchor="D" w:history="1">
              <w:r w:rsidRPr="00BA6D9D">
                <w:rPr>
                  <w:rStyle w:val="Hyperlink"/>
                </w:rPr>
                <w:t>link</w:t>
              </w:r>
            </w:hyperlink>
          </w:p>
          <w:p w14:paraId="1BA0C404" w14:textId="77777777" w:rsidR="005D3C4A" w:rsidRDefault="005D3C4A"/>
          <w:p w14:paraId="085763D3" w14:textId="2B5AD0EF" w:rsidR="005D3C4A" w:rsidRDefault="005D3C4A">
            <w:r>
              <w:t xml:space="preserve">Nye retningslinjer fra EBA om benchmarking af mangfoldighed: </w:t>
            </w:r>
            <w:hyperlink w:anchor="E" w:history="1">
              <w:r w:rsidRPr="005D3C4A">
                <w:rPr>
                  <w:rStyle w:val="Hyperlink"/>
                </w:rPr>
                <w:t>link</w:t>
              </w:r>
            </w:hyperlink>
          </w:p>
          <w:p w14:paraId="774E809C" w14:textId="77777777" w:rsidR="007A792D" w:rsidRDefault="007A792D"/>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5A5196C3" w14:textId="77777777" w:rsidR="00BE4C01" w:rsidRDefault="00BE4C01"/>
          <w:p w14:paraId="4A9FD596" w14:textId="2CC65DDE" w:rsidR="004C2CA6" w:rsidRDefault="004C2CA6">
            <w:r>
              <w:t>(Intet nyt)</w:t>
            </w:r>
          </w:p>
          <w:p w14:paraId="1136A53C" w14:textId="77777777" w:rsidR="004C2CA6" w:rsidRDefault="004C2CA6"/>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1ECA167D" w14:textId="77777777" w:rsidR="002D3E22" w:rsidRDefault="002D3E22"/>
          <w:p w14:paraId="632F75D4" w14:textId="77777777" w:rsidR="0072322B" w:rsidRPr="0072322B" w:rsidRDefault="0072322B" w:rsidP="0072322B">
            <w:pPr>
              <w:rPr>
                <w:b/>
                <w:bCs/>
              </w:rPr>
            </w:pPr>
            <w:bookmarkStart w:id="0" w:name="A"/>
            <w:r w:rsidRPr="0072322B">
              <w:rPr>
                <w:b/>
                <w:bCs/>
              </w:rPr>
              <w:t>Vejledning nr. 10054 af 15. december 2023 om risikoen for overdreven gearing</w:t>
            </w:r>
          </w:p>
          <w:bookmarkEnd w:id="0"/>
          <w:p w14:paraId="6878EA96" w14:textId="77777777" w:rsidR="004C2CA6" w:rsidRDefault="004C2CA6" w:rsidP="0072322B"/>
          <w:p w14:paraId="2EC82FBE" w14:textId="3CA030B2" w:rsidR="0072322B" w:rsidRDefault="0072322B" w:rsidP="0072322B">
            <w:r w:rsidRPr="0072322B">
              <w:t xml:space="preserve">Vejledningen gælder for virksomheder, der er omfattet af reglerne om risiko for overdreven gearing i medfør af bekendtgørelse om ledelse og styring af pengeinstitutter m.fl. (ledelsesbekendtgørelsen). </w:t>
            </w:r>
          </w:p>
          <w:p w14:paraId="7231C467" w14:textId="6E77EE85" w:rsidR="00EA103A" w:rsidRPr="0072322B" w:rsidRDefault="00EA103A" w:rsidP="0072322B">
            <w:r>
              <w:t xml:space="preserve">Fondsmæglerselskaber er i princippet omfattet af </w:t>
            </w:r>
            <w:r w:rsidR="008C5A6F">
              <w:t xml:space="preserve">ledelsesbekendtgørelsens regler om </w:t>
            </w:r>
            <w:r w:rsidR="00455174">
              <w:t xml:space="preserve">risiko for overdreven </w:t>
            </w:r>
            <w:r w:rsidR="004B63C1">
              <w:t>gearing</w:t>
            </w:r>
            <w:r w:rsidR="002158D8">
              <w:t>. Reglerne</w:t>
            </w:r>
            <w:r w:rsidR="00455174">
              <w:t xml:space="preserve"> implementerer</w:t>
            </w:r>
            <w:r w:rsidR="002158D8">
              <w:t xml:space="preserve"> dog</w:t>
            </w:r>
            <w:r w:rsidR="00455174">
              <w:t xml:space="preserve"> bestemmelser i </w:t>
            </w:r>
            <w:r w:rsidR="00104E27">
              <w:t>CRR, som fondsmæglerselskaberne ikke er omfattet af.</w:t>
            </w:r>
          </w:p>
          <w:p w14:paraId="1C4E908C" w14:textId="77777777" w:rsidR="004C2CA6" w:rsidRDefault="004C2CA6" w:rsidP="0072322B"/>
          <w:p w14:paraId="50DC4AD0" w14:textId="01CC791A" w:rsidR="0072322B" w:rsidRPr="0072322B" w:rsidRDefault="0072322B" w:rsidP="0072322B">
            <w:r w:rsidRPr="0072322B">
              <w:t xml:space="preserve">(Offentliggjort den 16. december 2023, </w:t>
            </w:r>
            <w:hyperlink r:id="rId8" w:history="1">
              <w:r w:rsidRPr="0072322B">
                <w:rPr>
                  <w:rStyle w:val="Hyperlink"/>
                </w:rPr>
                <w:t>link</w:t>
              </w:r>
            </w:hyperlink>
            <w:r w:rsidRPr="0072322B">
              <w:t>)</w:t>
            </w:r>
          </w:p>
          <w:p w14:paraId="2BE89B52" w14:textId="77777777" w:rsidR="0072322B" w:rsidRDefault="0072322B"/>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3C186B23" w14:textId="77777777" w:rsidR="00BE4C01" w:rsidRDefault="00BE4C01"/>
          <w:p w14:paraId="7FE38F15" w14:textId="77777777" w:rsidR="00C8125A" w:rsidRPr="00C8125A" w:rsidRDefault="00C8125A" w:rsidP="00C8125A">
            <w:pPr>
              <w:rPr>
                <w:b/>
                <w:bCs/>
              </w:rPr>
            </w:pPr>
            <w:bookmarkStart w:id="1" w:name="B"/>
            <w:r w:rsidRPr="00C8125A">
              <w:rPr>
                <w:b/>
                <w:bCs/>
              </w:rPr>
              <w:t>Europa-Parlamentets og Rådets forordning (EU) 2023/2859 af 13. december 2023 om oprettelse af et fælles europæisk adgangspunkt, som giver centraliseret adgang til offentligt tilgængelige oplysninger med relevans for finansielle tjenesteydelser, kapitalmarkeder og bæredygtighed</w:t>
            </w:r>
          </w:p>
          <w:bookmarkEnd w:id="1"/>
          <w:p w14:paraId="14017ED6" w14:textId="77777777" w:rsidR="002241F4" w:rsidRDefault="002241F4" w:rsidP="00C8125A"/>
          <w:p w14:paraId="57F509FF" w14:textId="5CD5E00F" w:rsidR="00C8125A" w:rsidRPr="00C8125A" w:rsidRDefault="00C8125A" w:rsidP="00C8125A">
            <w:r w:rsidRPr="00C8125A">
              <w:t>Forordningen fastsætter, at ESMA senest den 10. juli 2027 skal oprette og drive et europæisk fælles adgangspunkt (ESAP), der giver elektronisk adgang til oplysninger om finansielle virksomheder/tjenesteydelser, kapitalmarkeder og bæredygtighed i EU. Det skal i udgangspunktet være gratis at tilgå oplysningerne.</w:t>
            </w:r>
          </w:p>
          <w:p w14:paraId="6E8D4EBB" w14:textId="77777777" w:rsidR="00C8125A" w:rsidRPr="00C8125A" w:rsidRDefault="00C8125A" w:rsidP="00C8125A">
            <w:r w:rsidRPr="00C8125A">
              <w:t>Hensigten er at forbedre offentlighedens adgang til finansielle, ikkefinansielle, miljømæssige, sociale og ledelsesmæssige oplysninger om fysiske eller juridiske personer, som enten selv har pligt til at offentliggøre sådanne oplysninger, eller som kan offentliggøre oplysningerne via et indsamlingsorgan på frivillig basis.</w:t>
            </w:r>
          </w:p>
          <w:p w14:paraId="721905E2" w14:textId="77777777" w:rsidR="002241F4" w:rsidRDefault="002241F4" w:rsidP="00C8125A"/>
          <w:p w14:paraId="3E1246A2" w14:textId="186B93FD" w:rsidR="00C8125A" w:rsidRPr="00C8125A" w:rsidRDefault="00C8125A" w:rsidP="00C8125A">
            <w:r w:rsidRPr="00C8125A">
              <w:t xml:space="preserve">(Offentliggjort den 20. december 2023, </w:t>
            </w:r>
            <w:hyperlink r:id="rId9" w:history="1">
              <w:r w:rsidRPr="00C8125A">
                <w:rPr>
                  <w:rStyle w:val="Hyperlink"/>
                </w:rPr>
                <w:t>link</w:t>
              </w:r>
            </w:hyperlink>
            <w:r w:rsidRPr="00C8125A">
              <w:t>)</w:t>
            </w:r>
          </w:p>
          <w:p w14:paraId="5E2C8180" w14:textId="77777777" w:rsidR="00C8125A" w:rsidRPr="00C8125A" w:rsidRDefault="00C8125A" w:rsidP="00C8125A"/>
          <w:p w14:paraId="6C7104BB" w14:textId="77777777" w:rsidR="00C8125A" w:rsidRPr="00C8125A" w:rsidRDefault="00C8125A" w:rsidP="00C8125A">
            <w:pPr>
              <w:rPr>
                <w:b/>
                <w:bCs/>
              </w:rPr>
            </w:pPr>
            <w:r w:rsidRPr="00C8125A">
              <w:rPr>
                <w:b/>
                <w:bCs/>
              </w:rPr>
              <w:t>Europa-Parlamentets og Rådets forordning (EU) 2023/2869 af 13. december 2023 om ændring af visse forordninger for så vidt angår oprettelse af det fælles europæiske adgangspunkt og dets funktionsmåde</w:t>
            </w:r>
          </w:p>
          <w:p w14:paraId="36135B91" w14:textId="77777777" w:rsidR="002241F4" w:rsidRDefault="002241F4" w:rsidP="00C8125A"/>
          <w:p w14:paraId="46CF7617" w14:textId="4503990D" w:rsidR="00C8125A" w:rsidRPr="00C8125A" w:rsidRDefault="00C8125A" w:rsidP="00C8125A">
            <w:r w:rsidRPr="00C8125A">
              <w:t>Forordningen konsekvensretter i eksisterende regulering som følge af forordning (EU) 2023/2859 omtalt ovenfor.</w:t>
            </w:r>
          </w:p>
          <w:p w14:paraId="3E825FAF" w14:textId="77777777" w:rsidR="002241F4" w:rsidRDefault="002241F4" w:rsidP="00C8125A"/>
          <w:p w14:paraId="1FF22973" w14:textId="1FACAD55" w:rsidR="00C8125A" w:rsidRPr="00C8125A" w:rsidRDefault="00C8125A" w:rsidP="00C8125A">
            <w:r w:rsidRPr="00C8125A">
              <w:t xml:space="preserve">(Offentliggjort den 20. december 2023, </w:t>
            </w:r>
            <w:hyperlink r:id="rId10" w:history="1">
              <w:r w:rsidRPr="00C8125A">
                <w:rPr>
                  <w:rStyle w:val="Hyperlink"/>
                </w:rPr>
                <w:t>link</w:t>
              </w:r>
            </w:hyperlink>
            <w:r w:rsidRPr="00C8125A">
              <w:t>)</w:t>
            </w:r>
          </w:p>
          <w:p w14:paraId="282CD322" w14:textId="77777777" w:rsidR="00C8125A" w:rsidRPr="00C8125A" w:rsidRDefault="00C8125A" w:rsidP="00C8125A"/>
          <w:p w14:paraId="5AAC7539" w14:textId="77777777" w:rsidR="00C8125A" w:rsidRPr="00C8125A" w:rsidRDefault="00C8125A" w:rsidP="00C8125A">
            <w:pPr>
              <w:rPr>
                <w:b/>
                <w:bCs/>
              </w:rPr>
            </w:pPr>
            <w:r w:rsidRPr="00C8125A">
              <w:rPr>
                <w:b/>
                <w:bCs/>
              </w:rPr>
              <w:t>Europa-Parlamentets og Rådets direktiv (EU) 2023/2864 af 13. december 2023 om ændring af visse direktiver for så vidt angår oprettelse af det fælles europæiske adgangspunkt og dets funktionsmåde</w:t>
            </w:r>
          </w:p>
          <w:p w14:paraId="7A2497BD" w14:textId="77777777" w:rsidR="002241F4" w:rsidRDefault="002241F4" w:rsidP="00C8125A"/>
          <w:p w14:paraId="2519FC8D" w14:textId="2A9D9331" w:rsidR="00C8125A" w:rsidRPr="00C8125A" w:rsidRDefault="00C8125A" w:rsidP="00C8125A">
            <w:r w:rsidRPr="00C8125A">
              <w:t>Direktivet ændrer i en række direktiver på det finansielle område med henblik på indsamlingen af oplysninger i henhold til forordning (EU) 2023/2859 omtalt ovenfor.</w:t>
            </w:r>
          </w:p>
          <w:p w14:paraId="6521A3F1" w14:textId="77777777" w:rsidR="002241F4" w:rsidRDefault="002241F4" w:rsidP="00C8125A"/>
          <w:p w14:paraId="70FA75D3" w14:textId="27C2541D" w:rsidR="00C8125A" w:rsidRPr="00C8125A" w:rsidRDefault="00C8125A" w:rsidP="00C8125A">
            <w:r w:rsidRPr="00C8125A">
              <w:t xml:space="preserve">(Offentliggjort den 20. december 2023, </w:t>
            </w:r>
            <w:hyperlink r:id="rId11" w:history="1">
              <w:r w:rsidRPr="00C8125A">
                <w:rPr>
                  <w:rStyle w:val="Hyperlink"/>
                </w:rPr>
                <w:t>link</w:t>
              </w:r>
            </w:hyperlink>
            <w:r w:rsidRPr="00C8125A">
              <w:t>)</w:t>
            </w:r>
          </w:p>
          <w:p w14:paraId="2D35FFD3" w14:textId="77777777" w:rsidR="00C8125A" w:rsidRDefault="00C8125A"/>
          <w:p w14:paraId="4A78E1C8" w14:textId="77777777" w:rsidR="00FB62BC" w:rsidRPr="00FB62BC" w:rsidRDefault="00FB62BC" w:rsidP="00FB62BC">
            <w:pPr>
              <w:rPr>
                <w:b/>
                <w:bCs/>
              </w:rPr>
            </w:pPr>
            <w:bookmarkStart w:id="2" w:name="C"/>
            <w:r w:rsidRPr="00FB62BC">
              <w:rPr>
                <w:b/>
                <w:bCs/>
              </w:rPr>
              <w:t>Europa-Parlamentets og Rådets forordning (EU) 2023/2845 af 13. december 2023 om ændring af forordning (EU) nr. 909/2014 for så vidt angår afviklingsdisciplin, grænseoverskridende levering af tjenesteydelser, tilsynssamarbejde, levering af bankmæssige accessoriske tjenesteydelser og krav til tredjelandes værdipapircentraler og om ændring af forordning (EU) nr. 236/2012</w:t>
            </w:r>
          </w:p>
          <w:bookmarkEnd w:id="2"/>
          <w:p w14:paraId="2C50831A" w14:textId="77777777" w:rsidR="002241F4" w:rsidRDefault="002241F4" w:rsidP="00FB62BC"/>
          <w:p w14:paraId="1A7A8F6C" w14:textId="1F4D4EBF" w:rsidR="00FB62BC" w:rsidRPr="00FB62BC" w:rsidRDefault="00FB62BC" w:rsidP="00FB62BC">
            <w:r w:rsidRPr="00FB62BC">
              <w:t xml:space="preserve">Der er tale om ændringer i CSDR, som skal øge effektiviteten af EU's afviklingsmarkeder og samtidig sikre den finansielle stabilitet. </w:t>
            </w:r>
            <w:r w:rsidR="00C44482">
              <w:t xml:space="preserve">Ændringerne omfatter bl.a. regulering af </w:t>
            </w:r>
            <w:r w:rsidR="00072BE6">
              <w:t>sanktioner for markedsdeltagere ved afviklingsfejl</w:t>
            </w:r>
            <w:r w:rsidR="00D040DB">
              <w:t xml:space="preserve"> samt procedurer for </w:t>
            </w:r>
            <w:r w:rsidR="00A71BDC">
              <w:t>obligatoriske dækningskøb</w:t>
            </w:r>
            <w:r w:rsidR="00072BE6">
              <w:t>.</w:t>
            </w:r>
          </w:p>
          <w:p w14:paraId="6ADCECF0" w14:textId="77777777" w:rsidR="00FB62BC" w:rsidRPr="00FB62BC" w:rsidRDefault="00FB62BC" w:rsidP="00FB62BC">
            <w:r w:rsidRPr="00FB62BC">
              <w:t>Forordningen finder anvendelse fra den 16. januar 2024. Dog indfases visse bestemmelser i perioden frem til den 17. januar 2026.</w:t>
            </w:r>
          </w:p>
          <w:p w14:paraId="1AE7DD26" w14:textId="77777777" w:rsidR="002241F4" w:rsidRDefault="002241F4" w:rsidP="00FB62BC"/>
          <w:p w14:paraId="387A90B3" w14:textId="569B325C" w:rsidR="00FB62BC" w:rsidRPr="00FB62BC" w:rsidRDefault="00FB62BC" w:rsidP="00FB62BC">
            <w:r w:rsidRPr="00FB62BC">
              <w:t xml:space="preserve">(Offentliggjort den 27. december 2023, </w:t>
            </w:r>
            <w:hyperlink r:id="rId12" w:history="1">
              <w:r w:rsidRPr="00FB62BC">
                <w:rPr>
                  <w:rStyle w:val="Hyperlink"/>
                </w:rPr>
                <w:t>link</w:t>
              </w:r>
            </w:hyperlink>
            <w:r w:rsidRPr="00FB62BC">
              <w:t>)</w:t>
            </w:r>
          </w:p>
          <w:p w14:paraId="7D659E79" w14:textId="77777777" w:rsidR="00FB62BC" w:rsidRDefault="00FB62BC"/>
          <w:p w14:paraId="010E559B" w14:textId="77777777" w:rsidR="00C8125A" w:rsidRDefault="00C8125A"/>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lastRenderedPageBreak/>
              <w:t>Niveau 2</w:t>
            </w:r>
          </w:p>
        </w:tc>
      </w:tr>
      <w:tr w:rsidR="00BE4C01" w14:paraId="041C1121" w14:textId="77777777" w:rsidTr="00BE4C01">
        <w:tc>
          <w:tcPr>
            <w:tcW w:w="9628" w:type="dxa"/>
          </w:tcPr>
          <w:p w14:paraId="5B79E8F1" w14:textId="77777777" w:rsidR="00BE4C01" w:rsidRDefault="00BE4C01"/>
          <w:p w14:paraId="324AC03D" w14:textId="77777777" w:rsidR="007F5C3A" w:rsidRPr="007F5C3A" w:rsidRDefault="007F5C3A" w:rsidP="007F5C3A">
            <w:pPr>
              <w:rPr>
                <w:b/>
                <w:bCs/>
              </w:rPr>
            </w:pPr>
            <w:bookmarkStart w:id="3" w:name="D"/>
            <w:r w:rsidRPr="007F5C3A">
              <w:rPr>
                <w:b/>
                <w:bCs/>
              </w:rPr>
              <w:t>Bæredygtig finansiering: Kommissionen giver yderligere vejledning for at hjælpe finansielle virksomheder med at rapportere om miljøresultaterne af deres aktiviteter i henhold til EU-taksonomien</w:t>
            </w:r>
          </w:p>
          <w:bookmarkEnd w:id="3"/>
          <w:p w14:paraId="5EABDE4C" w14:textId="77777777" w:rsidR="002241F4" w:rsidRDefault="002241F4" w:rsidP="007F5C3A"/>
          <w:p w14:paraId="78BDAEC9" w14:textId="4C1BB998" w:rsidR="007F5C3A" w:rsidRPr="007F5C3A" w:rsidRDefault="007F5C3A" w:rsidP="007F5C3A">
            <w:r w:rsidRPr="007F5C3A">
              <w:t xml:space="preserve">Kommissionen har vedtaget en vejledning om ofte stillede spørgsmål om fortolkningen og gennemførelsen af den delegerede retsakt under taksonomiforordningen. </w:t>
            </w:r>
          </w:p>
          <w:p w14:paraId="6A3B319F" w14:textId="77777777" w:rsidR="002241F4" w:rsidRDefault="002241F4" w:rsidP="007F5C3A"/>
          <w:p w14:paraId="1FE751ED" w14:textId="027C00E6" w:rsidR="007F5C3A" w:rsidRPr="007F5C3A" w:rsidRDefault="007F5C3A" w:rsidP="007F5C3A">
            <w:r w:rsidRPr="007F5C3A">
              <w:t xml:space="preserve">(Offentliggjort den 21. december 2023, </w:t>
            </w:r>
            <w:hyperlink r:id="rId13" w:history="1">
              <w:r w:rsidRPr="007F5C3A">
                <w:rPr>
                  <w:rStyle w:val="Hyperlink"/>
                </w:rPr>
                <w:t>link</w:t>
              </w:r>
            </w:hyperlink>
            <w:r w:rsidRPr="007F5C3A">
              <w:t>)</w:t>
            </w:r>
          </w:p>
          <w:p w14:paraId="570C0B58" w14:textId="77777777" w:rsidR="007F5C3A" w:rsidRDefault="007F5C3A"/>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52AF13C7" w14:textId="77777777" w:rsidR="00BE4C01" w:rsidRDefault="00BE4C01"/>
          <w:p w14:paraId="079B5A43" w14:textId="675D5296" w:rsidR="00227019" w:rsidRPr="00227019" w:rsidRDefault="00227019" w:rsidP="00227019">
            <w:pPr>
              <w:rPr>
                <w:b/>
                <w:bCs/>
              </w:rPr>
            </w:pPr>
            <w:bookmarkStart w:id="4" w:name="E"/>
            <w:r w:rsidRPr="00227019">
              <w:rPr>
                <w:b/>
                <w:bCs/>
              </w:rPr>
              <w:t xml:space="preserve">EBA </w:t>
            </w:r>
            <w:r w:rsidR="00E20572">
              <w:rPr>
                <w:b/>
                <w:bCs/>
              </w:rPr>
              <w:t>vejleder</w:t>
            </w:r>
            <w:r w:rsidRPr="00227019">
              <w:rPr>
                <w:b/>
                <w:bCs/>
              </w:rPr>
              <w:t xml:space="preserve"> om benchmarking af praksis for mangfoldighed i henhold til kapitalkravsdirektivet og investeringsselskabsdirektivet</w:t>
            </w:r>
          </w:p>
          <w:bookmarkEnd w:id="4"/>
          <w:p w14:paraId="53ADAD22" w14:textId="77777777" w:rsidR="002241F4" w:rsidRDefault="002241F4" w:rsidP="00227019"/>
          <w:p w14:paraId="6DE26553" w14:textId="20395CE6" w:rsidR="00227019" w:rsidRDefault="00227019" w:rsidP="00227019">
            <w:r w:rsidRPr="00227019">
              <w:t xml:space="preserve">EBA har offentliggjort de endelige retningslinjer for benchmarking af praksis for mangfoldighed, herunder mangfoldighedspolitikker og kønsbestemte lønforskelle, i henhold til CRD og IFD. </w:t>
            </w:r>
          </w:p>
          <w:p w14:paraId="6565603A" w14:textId="5F94BB0F" w:rsidR="00A936E0" w:rsidRDefault="00A936E0" w:rsidP="00227019">
            <w:r>
              <w:t>For fondsmæglerselskaber vedrører retningslinjerne</w:t>
            </w:r>
            <w:r w:rsidR="00E23F05">
              <w:t xml:space="preserve"> </w:t>
            </w:r>
            <w:r w:rsidR="00CC1923">
              <w:t>oplysninger</w:t>
            </w:r>
            <w:r w:rsidR="00D439DE">
              <w:t xml:space="preserve">, der skal stilles til rådighed i henhold til </w:t>
            </w:r>
            <w:r w:rsidR="00E23F05">
              <w:t>artikel 26</w:t>
            </w:r>
            <w:r w:rsidR="0067502D">
              <w:t xml:space="preserve"> og 34(1)</w:t>
            </w:r>
            <w:r w:rsidR="00E23F05">
              <w:t xml:space="preserve"> under IFD</w:t>
            </w:r>
            <w:r w:rsidR="00D439DE">
              <w:t xml:space="preserve"> for virksomheder, der </w:t>
            </w:r>
            <w:r w:rsidR="00402D51">
              <w:t>ikke er små/indbyrdes forbundne.</w:t>
            </w:r>
            <w:r w:rsidR="00866FD8">
              <w:t xml:space="preserve"> </w:t>
            </w:r>
            <w:r w:rsidR="00402D51">
              <w:t xml:space="preserve"> Endvidere vedrører</w:t>
            </w:r>
            <w:r w:rsidR="00BA790A">
              <w:t xml:space="preserve"> retningslinjerne</w:t>
            </w:r>
            <w:r w:rsidR="00402D51">
              <w:t xml:space="preserve"> de oplysninger, der skal offentliggøres i henhold til </w:t>
            </w:r>
            <w:r w:rsidR="00045C12">
              <w:t>artikel 48 under IFR</w:t>
            </w:r>
            <w:r w:rsidR="00CC1923">
              <w:t>.</w:t>
            </w:r>
          </w:p>
          <w:p w14:paraId="6E4CD577" w14:textId="6DB2CA32" w:rsidR="00AE1928" w:rsidRPr="00227019" w:rsidRDefault="00AE1928" w:rsidP="00227019">
            <w:r>
              <w:t>Retningslinjerne finder anvendelse</w:t>
            </w:r>
            <w:r w:rsidR="001B59D5">
              <w:t xml:space="preserve"> på danske fondsmæglerselskaber</w:t>
            </w:r>
            <w:r>
              <w:t xml:space="preserve"> tre måneder efter, at de er blevet </w:t>
            </w:r>
            <w:r w:rsidR="001B59D5">
              <w:t>offentliggjort</w:t>
            </w:r>
            <w:r w:rsidR="00AC467B">
              <w:t xml:space="preserve"> på EBA’s hjemmeside</w:t>
            </w:r>
            <w:r w:rsidR="001B59D5">
              <w:t xml:space="preserve"> i oversat version, forudsat at de tiltrædes af Finanstilsynet.</w:t>
            </w:r>
            <w:r w:rsidR="005D555A">
              <w:t xml:space="preserve"> </w:t>
            </w:r>
          </w:p>
          <w:p w14:paraId="1BBD0FE7" w14:textId="77777777" w:rsidR="002241F4" w:rsidRDefault="002241F4" w:rsidP="00227019"/>
          <w:p w14:paraId="215608B5" w14:textId="48D7D96D" w:rsidR="00227019" w:rsidRPr="00227019" w:rsidRDefault="00227019" w:rsidP="00227019">
            <w:r w:rsidRPr="00227019">
              <w:t xml:space="preserve">(Offentliggjort den 18. december 2023, </w:t>
            </w:r>
            <w:hyperlink r:id="rId14" w:history="1">
              <w:r w:rsidRPr="00227019">
                <w:rPr>
                  <w:rStyle w:val="Hyperlink"/>
                </w:rPr>
                <w:t>link</w:t>
              </w:r>
            </w:hyperlink>
            <w:r w:rsidRPr="00227019">
              <w:t>)</w:t>
            </w:r>
          </w:p>
          <w:p w14:paraId="5E1E2D1B" w14:textId="77777777" w:rsidR="00227019" w:rsidRDefault="00227019"/>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lastRenderedPageBreak/>
              <w:t>ESMA</w:t>
            </w:r>
          </w:p>
        </w:tc>
      </w:tr>
      <w:tr w:rsidR="00BE4C01" w14:paraId="7F315866" w14:textId="77777777" w:rsidTr="00BE4C01">
        <w:tc>
          <w:tcPr>
            <w:tcW w:w="9628" w:type="dxa"/>
          </w:tcPr>
          <w:p w14:paraId="156ACB8D" w14:textId="77777777" w:rsidR="00BE4C01" w:rsidRDefault="00BE4C01"/>
          <w:p w14:paraId="563027B1" w14:textId="77777777" w:rsidR="006A54DC" w:rsidRDefault="001754B3">
            <w:r>
              <w:t>(Intet nyt)</w:t>
            </w:r>
          </w:p>
          <w:p w14:paraId="29E632A3" w14:textId="5820FB8D" w:rsidR="001754B3" w:rsidRDefault="001754B3"/>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6"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35223"/>
    <w:rsid w:val="00045C12"/>
    <w:rsid w:val="00072BE6"/>
    <w:rsid w:val="00104E27"/>
    <w:rsid w:val="001163B2"/>
    <w:rsid w:val="00136D9B"/>
    <w:rsid w:val="001754B3"/>
    <w:rsid w:val="001B59D5"/>
    <w:rsid w:val="001D2801"/>
    <w:rsid w:val="002158D8"/>
    <w:rsid w:val="002241F4"/>
    <w:rsid w:val="00227019"/>
    <w:rsid w:val="00265438"/>
    <w:rsid w:val="002B6B87"/>
    <w:rsid w:val="002C7B1B"/>
    <w:rsid w:val="002D3E22"/>
    <w:rsid w:val="00344CB3"/>
    <w:rsid w:val="003B7D51"/>
    <w:rsid w:val="00402D51"/>
    <w:rsid w:val="00427ED3"/>
    <w:rsid w:val="00454FFD"/>
    <w:rsid w:val="00455174"/>
    <w:rsid w:val="0045749D"/>
    <w:rsid w:val="004B63C1"/>
    <w:rsid w:val="004C2CA6"/>
    <w:rsid w:val="004D740B"/>
    <w:rsid w:val="00533C93"/>
    <w:rsid w:val="005945AC"/>
    <w:rsid w:val="005D3C4A"/>
    <w:rsid w:val="005D555A"/>
    <w:rsid w:val="0067502D"/>
    <w:rsid w:val="006A54DC"/>
    <w:rsid w:val="006C0074"/>
    <w:rsid w:val="006C739E"/>
    <w:rsid w:val="0072322B"/>
    <w:rsid w:val="007A792D"/>
    <w:rsid w:val="007F5C3A"/>
    <w:rsid w:val="00866FD8"/>
    <w:rsid w:val="008C5A6F"/>
    <w:rsid w:val="009911B9"/>
    <w:rsid w:val="00A71BDC"/>
    <w:rsid w:val="00A936E0"/>
    <w:rsid w:val="00A97075"/>
    <w:rsid w:val="00AC467B"/>
    <w:rsid w:val="00AE1928"/>
    <w:rsid w:val="00BA6D9D"/>
    <w:rsid w:val="00BA790A"/>
    <w:rsid w:val="00BC1F31"/>
    <w:rsid w:val="00BE4C01"/>
    <w:rsid w:val="00C21A39"/>
    <w:rsid w:val="00C44482"/>
    <w:rsid w:val="00C8125A"/>
    <w:rsid w:val="00C85909"/>
    <w:rsid w:val="00CC1923"/>
    <w:rsid w:val="00D040DB"/>
    <w:rsid w:val="00D14ECE"/>
    <w:rsid w:val="00D439DE"/>
    <w:rsid w:val="00D747CE"/>
    <w:rsid w:val="00DC4B56"/>
    <w:rsid w:val="00DD48DD"/>
    <w:rsid w:val="00E20572"/>
    <w:rsid w:val="00E23F05"/>
    <w:rsid w:val="00E457E5"/>
    <w:rsid w:val="00EA103A"/>
    <w:rsid w:val="00F10BC1"/>
    <w:rsid w:val="00FB62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723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retsinfo/2023/10054" TargetMode="External"/><Relationship Id="rId13" Type="http://schemas.openxmlformats.org/officeDocument/2006/relationships/hyperlink" Target="https://finance.ec.europa.eu/news/sustainable-finance-commission-provides-additional-guidance-help-financial-undertakings-report-about-2023-12-21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DA/TXT/?uri=OJ:L_202302845"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as@capitallawcph.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DA/TXT/?uri=OJ:L_202302864"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eur-lex.europa.eu/legal-content/DA/TXT/?uri=OJ:L_20230286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eur-lex.europa.eu/legal-content/DA/TXT/?uri=OJ:L_202302859" TargetMode="External"/><Relationship Id="rId14" Type="http://schemas.openxmlformats.org/officeDocument/2006/relationships/hyperlink" Target="https://www.eba.europa.eu/publications-and-media/press-releases/eba-provides-guidance-benchmarking-diversity-practices-u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19" ma:contentTypeDescription="Opret et nyt dokument." ma:contentTypeScope="" ma:versionID="63d3ae8bfb4707f5f003d649ed01e05a">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65d1a4489584d8d12ead7139924ff71e"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41F14798-C471-49A0-B983-D132A99CF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899</Words>
  <Characters>5490</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47</cp:revision>
  <cp:lastPrinted>2024-01-08T11:02:00Z</cp:lastPrinted>
  <dcterms:created xsi:type="dcterms:W3CDTF">2024-01-04T08:46:00Z</dcterms:created>
  <dcterms:modified xsi:type="dcterms:W3CDTF">2024-01-08T12:25:00Z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