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4BB27CCE" w:rsidR="00BE4C01" w:rsidRDefault="00BE4C01" w:rsidP="00BE4C01">
      <w:pPr>
        <w:jc w:val="both"/>
      </w:pPr>
      <w:r>
        <w:t>O</w:t>
      </w:r>
      <w:r w:rsidRPr="005A5267">
        <w:t xml:space="preserve">pdatering for </w:t>
      </w:r>
      <w:r w:rsidR="00613C6C">
        <w:t>februar</w:t>
      </w:r>
      <w:r w:rsidRPr="005A5267">
        <w:t xml:space="preserve"> </w:t>
      </w:r>
      <w:r>
        <w:t xml:space="preserve">måned </w:t>
      </w:r>
      <w:r w:rsidRPr="005A5267">
        <w:t>202</w:t>
      </w:r>
      <w:r w:rsidR="005C2158">
        <w:t>4</w:t>
      </w:r>
    </w:p>
    <w:p w14:paraId="4FC69AF0" w14:textId="77777777" w:rsidR="00DD48DD" w:rsidRDefault="00DD48DD"/>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7EA1B16B" w14:textId="77777777" w:rsidR="00BE4C01" w:rsidRDefault="00BE4C01"/>
          <w:p w14:paraId="20A3FC71" w14:textId="4A4D8068" w:rsidR="00687A15" w:rsidRDefault="00A14134">
            <w:r>
              <w:t>Ophævelse af vejledning om risikomærkning:</w:t>
            </w:r>
            <w:r w:rsidR="007F2ABA">
              <w:t xml:space="preserve"> </w:t>
            </w:r>
            <w:hyperlink w:anchor="A" w:history="1">
              <w:r w:rsidR="007F2ABA" w:rsidRPr="007F2ABA">
                <w:rPr>
                  <w:rStyle w:val="Hyperlink"/>
                </w:rPr>
                <w:t>link</w:t>
              </w:r>
            </w:hyperlink>
          </w:p>
          <w:p w14:paraId="0E1B3904" w14:textId="77777777" w:rsidR="005A2C12" w:rsidRDefault="005A2C12"/>
          <w:p w14:paraId="58DB614D" w14:textId="473ADFC8" w:rsidR="00A14134" w:rsidRDefault="00963C14">
            <w:r>
              <w:t>N</w:t>
            </w:r>
            <w:r w:rsidRPr="00963C14">
              <w:t>ye Q&amp;As vedrørende CRA, EMIR, MiCA og MiFIR</w:t>
            </w:r>
            <w:r>
              <w:t>:</w:t>
            </w:r>
            <w:r w:rsidR="007F2ABA">
              <w:t xml:space="preserve"> </w:t>
            </w:r>
            <w:hyperlink w:anchor="B" w:history="1">
              <w:r w:rsidR="007F2ABA" w:rsidRPr="007F2ABA">
                <w:rPr>
                  <w:rStyle w:val="Hyperlink"/>
                </w:rPr>
                <w:t>link</w:t>
              </w:r>
            </w:hyperlink>
          </w:p>
          <w:p w14:paraId="1D7C8538" w14:textId="77777777" w:rsidR="005A2C12" w:rsidRDefault="005A2C12"/>
          <w:p w14:paraId="158142DE" w14:textId="0F35E9DE" w:rsidR="00742700" w:rsidRDefault="00105461">
            <w:r>
              <w:t xml:space="preserve">Faktisk bortfald af </w:t>
            </w:r>
            <w:r w:rsidR="00387A6F">
              <w:t>forpligtelser efter RTS 28 under MiFI</w:t>
            </w:r>
            <w:r w:rsidR="007E1378">
              <w:t>D II</w:t>
            </w:r>
            <w:r w:rsidR="00FD0655">
              <w:t>:</w:t>
            </w:r>
            <w:r w:rsidR="007F2ABA">
              <w:t xml:space="preserve"> </w:t>
            </w:r>
            <w:hyperlink w:anchor="C" w:history="1">
              <w:r w:rsidR="007F2ABA" w:rsidRPr="007F2ABA">
                <w:rPr>
                  <w:rStyle w:val="Hyperlink"/>
                </w:rPr>
                <w:t>link</w:t>
              </w:r>
            </w:hyperlink>
          </w:p>
          <w:p w14:paraId="774E809C" w14:textId="77777777" w:rsidR="00687A15" w:rsidRDefault="00687A15" w:rsidP="00742700"/>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74BC9137" w14:textId="77777777" w:rsidR="00BE4C01" w:rsidRDefault="00BE4C01"/>
          <w:p w14:paraId="11246392" w14:textId="77777777" w:rsidR="005941F8" w:rsidRPr="005941F8" w:rsidRDefault="005941F8" w:rsidP="005941F8">
            <w:r w:rsidRPr="005941F8">
              <w:t>(Intet nyt)</w:t>
            </w:r>
          </w:p>
          <w:p w14:paraId="1136A53C" w14:textId="77777777" w:rsidR="005941F8" w:rsidRDefault="005941F8"/>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t>Bekendtgørelse</w:t>
            </w:r>
            <w:r w:rsidR="00136D9B">
              <w:rPr>
                <w:b/>
                <w:bCs/>
              </w:rPr>
              <w:t>r</w:t>
            </w:r>
            <w:r w:rsidRPr="005945AC">
              <w:rPr>
                <w:b/>
                <w:bCs/>
              </w:rPr>
              <w:t xml:space="preserve"> m.v.</w:t>
            </w:r>
          </w:p>
        </w:tc>
      </w:tr>
      <w:tr w:rsidR="00BE4C01" w14:paraId="159B5602" w14:textId="77777777" w:rsidTr="00BE4C01">
        <w:tc>
          <w:tcPr>
            <w:tcW w:w="9628" w:type="dxa"/>
          </w:tcPr>
          <w:p w14:paraId="025E408E" w14:textId="77777777" w:rsidR="00BE4C01" w:rsidRDefault="00BE4C01"/>
          <w:p w14:paraId="690B40B7" w14:textId="77777777" w:rsidR="007831AF" w:rsidRPr="007831AF" w:rsidRDefault="007831AF" w:rsidP="007831AF">
            <w:pPr>
              <w:rPr>
                <w:b/>
                <w:bCs/>
              </w:rPr>
            </w:pPr>
            <w:bookmarkStart w:id="0" w:name="A"/>
            <w:r w:rsidRPr="007831AF">
              <w:rPr>
                <w:b/>
                <w:bCs/>
              </w:rPr>
              <w:t>Skrivelse om ophævelse af vejledning nr. 56 af 21. juli 2011 til bekendtgørelse om risikomærkning af investeringsprodukter</w:t>
            </w:r>
          </w:p>
          <w:bookmarkEnd w:id="0"/>
          <w:p w14:paraId="251DAAD7" w14:textId="77777777" w:rsidR="00351D8E" w:rsidRDefault="00351D8E" w:rsidP="007831AF"/>
          <w:p w14:paraId="6FBE936E" w14:textId="7131F8AB" w:rsidR="007831AF" w:rsidRPr="007831AF" w:rsidRDefault="007831AF" w:rsidP="007831AF">
            <w:r w:rsidRPr="007831AF">
              <w:t xml:space="preserve">Vejledning nr. 56 af 21. juli 2011 til bekendtgørelse om risikomærkning af investeringsprodukter ophæves. Dette kan ses i forlængelse af ophævelsen pr. 1. januar 2023 af den </w:t>
            </w:r>
            <w:r w:rsidR="00351D8E">
              <w:t>tilsvarende</w:t>
            </w:r>
            <w:r w:rsidRPr="007831AF">
              <w:t xml:space="preserve"> bekendtgørelse.</w:t>
            </w:r>
          </w:p>
          <w:p w14:paraId="33B12CC4" w14:textId="77777777" w:rsidR="00687A15" w:rsidRDefault="00687A15" w:rsidP="007831AF"/>
          <w:p w14:paraId="7D2AD2D3" w14:textId="78FA4189" w:rsidR="007831AF" w:rsidRPr="007831AF" w:rsidRDefault="007831AF" w:rsidP="007831AF">
            <w:r w:rsidRPr="007831AF">
              <w:t xml:space="preserve">(Offentliggjort den 6. februar 2024, </w:t>
            </w:r>
            <w:hyperlink r:id="rId8" w:history="1">
              <w:r w:rsidRPr="007831AF">
                <w:rPr>
                  <w:rStyle w:val="Hyperlink"/>
                </w:rPr>
                <w:t>link</w:t>
              </w:r>
            </w:hyperlink>
            <w:r w:rsidRPr="007831AF">
              <w:t>)</w:t>
            </w:r>
          </w:p>
          <w:p w14:paraId="2BE89B52" w14:textId="77777777" w:rsidR="00100C51" w:rsidRDefault="00100C51" w:rsidP="00742700"/>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5073464A" w14:textId="77777777" w:rsidR="00BE4C01" w:rsidRDefault="00BE4C01"/>
          <w:p w14:paraId="2F2C0CE6" w14:textId="77777777" w:rsidR="005941F8" w:rsidRPr="005941F8" w:rsidRDefault="005941F8" w:rsidP="005941F8">
            <w:r w:rsidRPr="005941F8">
              <w:t>(Intet nyt)</w:t>
            </w:r>
          </w:p>
          <w:p w14:paraId="010E559B" w14:textId="77777777" w:rsidR="005941F8" w:rsidRDefault="005941F8"/>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t>Niveau 2</w:t>
            </w:r>
          </w:p>
        </w:tc>
      </w:tr>
      <w:tr w:rsidR="00BE4C01" w14:paraId="041C1121" w14:textId="77777777" w:rsidTr="00BE4C01">
        <w:tc>
          <w:tcPr>
            <w:tcW w:w="9628" w:type="dxa"/>
          </w:tcPr>
          <w:p w14:paraId="4B3B7FE1" w14:textId="77777777" w:rsidR="00BE4C01" w:rsidRDefault="00BE4C01"/>
          <w:p w14:paraId="30FAC64F" w14:textId="77777777" w:rsidR="005941F8" w:rsidRPr="005941F8" w:rsidRDefault="005941F8" w:rsidP="005941F8">
            <w:r w:rsidRPr="005941F8">
              <w:t>(Intet nyt)</w:t>
            </w:r>
          </w:p>
          <w:p w14:paraId="570C0B58" w14:textId="77777777" w:rsidR="005941F8" w:rsidRDefault="005941F8"/>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328E1272" w14:textId="77777777" w:rsidR="00BE4C01" w:rsidRDefault="00BE4C01"/>
          <w:p w14:paraId="4ABD8AC2" w14:textId="77777777" w:rsidR="005941F8" w:rsidRPr="005941F8" w:rsidRDefault="005941F8" w:rsidP="005941F8">
            <w:r w:rsidRPr="005941F8">
              <w:t>(Intet nyt)</w:t>
            </w:r>
          </w:p>
          <w:p w14:paraId="5E1E2D1B" w14:textId="77777777" w:rsidR="005941F8" w:rsidRDefault="005941F8"/>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6BC7EE9F" w14:textId="77777777" w:rsidR="00BE4C01" w:rsidRDefault="00BE4C01"/>
          <w:p w14:paraId="0A7170CC" w14:textId="761C826E" w:rsidR="00F556EC" w:rsidRPr="00F556EC" w:rsidRDefault="00F556EC" w:rsidP="00F556EC">
            <w:pPr>
              <w:rPr>
                <w:b/>
                <w:bCs/>
              </w:rPr>
            </w:pPr>
            <w:bookmarkStart w:id="1" w:name="B"/>
            <w:r w:rsidRPr="00F556EC">
              <w:rPr>
                <w:b/>
                <w:bCs/>
              </w:rPr>
              <w:t>ESMA har offentliggjort nye Q&amp;As vedrørende CRA, EMIR, MiCA og MiFIR</w:t>
            </w:r>
            <w:bookmarkEnd w:id="1"/>
          </w:p>
          <w:p w14:paraId="4640FE99" w14:textId="77777777" w:rsidR="005655E9" w:rsidRDefault="005655E9" w:rsidP="00F556EC"/>
          <w:p w14:paraId="3D00ED6B" w14:textId="32962CCA" w:rsidR="00F556EC" w:rsidRPr="00F556EC" w:rsidRDefault="00F556EC" w:rsidP="00F556EC">
            <w:r w:rsidRPr="00F556EC">
              <w:t xml:space="preserve">(Offentliggjort den 2. februar 2024, </w:t>
            </w:r>
            <w:hyperlink r:id="rId9" w:history="1">
              <w:r w:rsidRPr="00F556EC">
                <w:rPr>
                  <w:rStyle w:val="Hyperlink"/>
                </w:rPr>
                <w:t>lin</w:t>
              </w:r>
              <w:r w:rsidRPr="00F556EC">
                <w:rPr>
                  <w:rStyle w:val="Hyperlink"/>
                </w:rPr>
                <w:t>k</w:t>
              </w:r>
            </w:hyperlink>
            <w:r w:rsidRPr="00F556EC">
              <w:t>)</w:t>
            </w:r>
          </w:p>
          <w:p w14:paraId="37196E01" w14:textId="77777777" w:rsidR="00F556EC" w:rsidRDefault="00F556EC"/>
          <w:p w14:paraId="3E1AA997" w14:textId="77777777" w:rsidR="007F2ABA" w:rsidRDefault="007F2ABA" w:rsidP="000F4B31">
            <w:pPr>
              <w:rPr>
                <w:b/>
                <w:bCs/>
              </w:rPr>
            </w:pPr>
          </w:p>
          <w:p w14:paraId="03F9DEAB" w14:textId="70DBDF83" w:rsidR="000F4B31" w:rsidRPr="000F4B31" w:rsidRDefault="000F4B31" w:rsidP="000F4B31">
            <w:pPr>
              <w:rPr>
                <w:b/>
                <w:bCs/>
              </w:rPr>
            </w:pPr>
            <w:bookmarkStart w:id="2" w:name="C"/>
            <w:r w:rsidRPr="000F4B31">
              <w:rPr>
                <w:b/>
                <w:bCs/>
              </w:rPr>
              <w:lastRenderedPageBreak/>
              <w:t>ESMA præciserer visse rapporteringskrav til best execution-indberetning i henhold til MiFID II</w:t>
            </w:r>
          </w:p>
          <w:bookmarkEnd w:id="2"/>
          <w:p w14:paraId="7F9E5A47" w14:textId="77777777" w:rsidR="00687A15" w:rsidRDefault="00687A15" w:rsidP="000F4B31"/>
          <w:p w14:paraId="23DFFD32" w14:textId="5FFBE786" w:rsidR="000F4B31" w:rsidRPr="000F4B31" w:rsidRDefault="000F4B31" w:rsidP="000F4B31">
            <w:r w:rsidRPr="000F4B31">
              <w:t>ESMA har udsendt en offentlig erklæring om rapporteringskravene i henhold til RTS</w:t>
            </w:r>
            <w:r w:rsidR="00387A6F">
              <w:t xml:space="preserve"> </w:t>
            </w:r>
            <w:r w:rsidRPr="000F4B31">
              <w:t xml:space="preserve">28. </w:t>
            </w:r>
          </w:p>
          <w:p w14:paraId="63012E0B" w14:textId="77777777" w:rsidR="000F4B31" w:rsidRPr="000F4B31" w:rsidRDefault="000F4B31" w:rsidP="000F4B31">
            <w:r w:rsidRPr="000F4B31">
              <w:t>ESMA forventer, at de kompetente nationale myndigheder ikke prioriterer tilsynsforanstaltninger over for investeringsselskaber i forbindelse med den periodiske RTS 28-indberetningsforpligtelse fra den 13. februar 2024, og indtil den kommende gennemførelse af MiFID II-revisionen i national lovgivning i alle medlemsstater fjerner den juridiske forpligtelse.</w:t>
            </w:r>
          </w:p>
          <w:p w14:paraId="42177BA3" w14:textId="77777777" w:rsidR="00687A15" w:rsidRDefault="00687A15" w:rsidP="000F4B31"/>
          <w:p w14:paraId="3F5055C1" w14:textId="28077B72" w:rsidR="000F4B31" w:rsidRPr="000F4B31" w:rsidRDefault="000F4B31" w:rsidP="000F4B31">
            <w:r w:rsidRPr="000F4B31">
              <w:t xml:space="preserve">(Offentliggjort den 13. februar 2024, </w:t>
            </w:r>
            <w:hyperlink r:id="rId10" w:history="1">
              <w:r w:rsidRPr="000F4B31">
                <w:rPr>
                  <w:rStyle w:val="Hyperlink"/>
                </w:rPr>
                <w:t>lin</w:t>
              </w:r>
              <w:r w:rsidRPr="000F4B31">
                <w:rPr>
                  <w:rStyle w:val="Hyperlink"/>
                </w:rPr>
                <w:t>k</w:t>
              </w:r>
            </w:hyperlink>
            <w:r w:rsidRPr="000F4B31">
              <w:t>)</w:t>
            </w:r>
          </w:p>
          <w:p w14:paraId="29E632A3" w14:textId="77777777" w:rsidR="00F556EC" w:rsidRDefault="00F556EC"/>
        </w:tc>
      </w:tr>
    </w:tbl>
    <w:p w14:paraId="329D25E6" w14:textId="77777777" w:rsidR="00BE4C01" w:rsidRDefault="00BE4C01"/>
    <w:p w14:paraId="6BBF4DE2" w14:textId="77777777" w:rsidR="00BE4C01" w:rsidRPr="00BE4C01" w:rsidRDefault="00BE4C01" w:rsidP="00BE4C01"/>
    <w:p w14:paraId="251BD954" w14:textId="77777777" w:rsidR="00BE4C01" w:rsidRPr="00BE4C01" w:rsidRDefault="00BE4C01" w:rsidP="00BE4C01">
      <w:pPr>
        <w:rPr>
          <w:i/>
          <w:iCs/>
        </w:rPr>
      </w:pPr>
      <w:r w:rsidRPr="00BE4C01">
        <w:rPr>
          <w:i/>
          <w:iCs/>
        </w:rPr>
        <w:t xml:space="preserve">Denne oversigt over ny finansiel regulering er udvalgt af Capital Law CPH ud fra regulering, der retter sig direkte til fondsmæglerselskaber og deres holdingvirksomheder. Oversigten er en informationstjeneste og udgør ikke juridisk rådgivning, og Capital Law CPH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77777777" w:rsidR="00BE4C01" w:rsidRPr="00BE4C01" w:rsidRDefault="00BE4C01" w:rsidP="00BE4C01">
      <w:pPr>
        <w:rPr>
          <w:i/>
          <w:iCs/>
        </w:rPr>
      </w:pPr>
      <w:r w:rsidRPr="00BE4C01">
        <w:rPr>
          <w:i/>
          <w:iCs/>
        </w:rPr>
        <w:t xml:space="preserve">Oversigten er redigeret af advokat og partner Camilla Søborg, </w:t>
      </w:r>
      <w:hyperlink r:id="rId12" w:history="1">
        <w:r w:rsidRPr="00BE4C01">
          <w:rPr>
            <w:rStyle w:val="Hyperlink"/>
            <w:i/>
            <w:iCs/>
          </w:rPr>
          <w:t>cas@capitallawcph.dk</w:t>
        </w:r>
      </w:hyperlink>
      <w:r w:rsidRPr="00BE4C01">
        <w:rPr>
          <w:i/>
          <w:iCs/>
        </w:rPr>
        <w:t xml:space="preserve">, tlf. 53500914, som du kan rette henvendelse til, hvis du har kommentarer eller spørgsmål. </w:t>
      </w:r>
    </w:p>
    <w:p w14:paraId="514A19E8" w14:textId="77777777" w:rsidR="00BE4C01" w:rsidRPr="00BE4C01" w:rsidRDefault="00BE4C01" w:rsidP="00BE4C01">
      <w:pPr>
        <w:rPr>
          <w:i/>
          <w:iCs/>
        </w:rPr>
      </w:pPr>
    </w:p>
    <w:p w14:paraId="22D0A962" w14:textId="77777777" w:rsidR="00BE4C01" w:rsidRPr="00BE4C01" w:rsidRDefault="00BE4C01" w:rsidP="00BE4C01">
      <w:r w:rsidRPr="00BE4C01">
        <w:rPr>
          <w:noProof/>
        </w:rPr>
        <w:drawing>
          <wp:inline distT="0" distB="0" distL="0" distR="0" wp14:anchorId="027AA631" wp14:editId="364652AF">
            <wp:extent cx="1600200" cy="304800"/>
            <wp:effectExtent l="0" t="0" r="0" b="0"/>
            <wp:docPr id="1" name="Billede 1" descr="Et billede, der indeholder tekst, skilt&#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39FECEBF" w14:textId="77777777" w:rsidR="00BE4C01" w:rsidRPr="00BE4C01" w:rsidRDefault="00BE4C01" w:rsidP="00BE4C01">
      <w:r w:rsidRPr="00BE4C01">
        <w:t>Capital Law CPH Advokater I/S,</w:t>
      </w:r>
      <w:r w:rsidRPr="00BE4C01">
        <w:rPr>
          <w:b/>
          <w:bCs/>
        </w:rPr>
        <w:t xml:space="preserve"> </w:t>
      </w:r>
      <w:r w:rsidRPr="00BE4C01">
        <w:t>CVR-nr. 42075000, Hellerupvej 5,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0F4B31"/>
    <w:rsid w:val="00100C51"/>
    <w:rsid w:val="00105461"/>
    <w:rsid w:val="001163B2"/>
    <w:rsid w:val="00136D9B"/>
    <w:rsid w:val="001D2801"/>
    <w:rsid w:val="00265438"/>
    <w:rsid w:val="002B6B87"/>
    <w:rsid w:val="00344CB3"/>
    <w:rsid w:val="00351D8E"/>
    <w:rsid w:val="00387A6F"/>
    <w:rsid w:val="003B7D51"/>
    <w:rsid w:val="003F577D"/>
    <w:rsid w:val="00412463"/>
    <w:rsid w:val="00427ED3"/>
    <w:rsid w:val="0045749D"/>
    <w:rsid w:val="004D740B"/>
    <w:rsid w:val="00533C93"/>
    <w:rsid w:val="005655E9"/>
    <w:rsid w:val="005941F8"/>
    <w:rsid w:val="005945AC"/>
    <w:rsid w:val="005A2C12"/>
    <w:rsid w:val="005C2158"/>
    <w:rsid w:val="00613C6C"/>
    <w:rsid w:val="00687A15"/>
    <w:rsid w:val="006C0074"/>
    <w:rsid w:val="006C60CF"/>
    <w:rsid w:val="00742700"/>
    <w:rsid w:val="007831AF"/>
    <w:rsid w:val="007E1378"/>
    <w:rsid w:val="007F2ABA"/>
    <w:rsid w:val="008902E9"/>
    <w:rsid w:val="00963C14"/>
    <w:rsid w:val="009911B9"/>
    <w:rsid w:val="009F5585"/>
    <w:rsid w:val="00A14134"/>
    <w:rsid w:val="00A66FDD"/>
    <w:rsid w:val="00A97075"/>
    <w:rsid w:val="00BC1F31"/>
    <w:rsid w:val="00BE4C01"/>
    <w:rsid w:val="00C21A39"/>
    <w:rsid w:val="00DD48DD"/>
    <w:rsid w:val="00E54E98"/>
    <w:rsid w:val="00F10BC1"/>
    <w:rsid w:val="00F556EC"/>
    <w:rsid w:val="00FB40AF"/>
    <w:rsid w:val="00FD0655"/>
    <w:rsid w:val="00FF20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9F5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retsinfo/2024/9072" TargetMode="Externa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capitallawcph.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sma.europa.eu/press-news/esma-news/esma-clarifies-certain-best-execution-reporting-requirements-under-mifid-ii" TargetMode="External"/><Relationship Id="rId4" Type="http://schemas.openxmlformats.org/officeDocument/2006/relationships/numbering" Target="numbering.xml"/><Relationship Id="rId9" Type="http://schemas.openxmlformats.org/officeDocument/2006/relationships/hyperlink" Target="https://www.esma.europa.eu/press-news/esma-news/new-qas-available-15"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20" ma:contentTypeDescription="Opret et nyt dokument." ma:contentTypeScope="" ma:versionID="4c9fdd3f57380a66db669e25b35dd481">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0701e95dae96647187809806b243026f"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customXml/itemProps2.xml><?xml version="1.0" encoding="utf-8"?>
<ds:datastoreItem xmlns:ds="http://schemas.openxmlformats.org/officeDocument/2006/customXml" ds:itemID="{B1DFC98C-0845-4A94-8D81-1ABEEB67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0fee-deb7-4d11-8342-64349c8749bc"/>
    <ds:schemaRef ds:uri="547d2aa7-4697-4679-89a8-f7ed82537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4AD3D-F638-4681-B165-D4FC1736A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354</Words>
  <Characters>2160</Characters>
  <Application>Microsoft Office Word</Application>
  <DocSecurity>0</DocSecurity>
  <Lines>18</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28</cp:revision>
  <dcterms:created xsi:type="dcterms:W3CDTF">2024-03-05T12:44:00Z</dcterms:created>
  <dcterms:modified xsi:type="dcterms:W3CDTF">2024-03-05T13:13:00Z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