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1D632296" w:rsidR="00BE4C01" w:rsidRDefault="00BE4C01" w:rsidP="00BE4C01">
      <w:pPr>
        <w:jc w:val="both"/>
      </w:pPr>
      <w:r>
        <w:t>O</w:t>
      </w:r>
      <w:r w:rsidRPr="005A5267">
        <w:t xml:space="preserve">pdatering for </w:t>
      </w:r>
      <w:r w:rsidR="00FA05DA">
        <w:t>marts</w:t>
      </w:r>
      <w:r w:rsidRPr="005A5267">
        <w:t xml:space="preserve"> </w:t>
      </w:r>
      <w:r>
        <w:t xml:space="preserve">måned </w:t>
      </w:r>
      <w:r w:rsidRPr="005A5267">
        <w:t>202</w:t>
      </w:r>
      <w:r w:rsidR="005C2158">
        <w:t>4</w:t>
      </w:r>
    </w:p>
    <w:p w14:paraId="08D53588" w14:textId="77777777" w:rsidR="005C6A89" w:rsidRDefault="005C6A89" w:rsidP="00BE4C01">
      <w:pPr>
        <w:jc w:val="both"/>
      </w:pPr>
    </w:p>
    <w:p w14:paraId="4198B1F0" w14:textId="77777777" w:rsidR="005C6A89" w:rsidRDefault="005C6A89" w:rsidP="00BE4C01">
      <w:pPr>
        <w:jc w:val="both"/>
      </w:pPr>
    </w:p>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16160DE0" w14:textId="77777777" w:rsidR="00BE4C01" w:rsidRDefault="00BE4C01"/>
          <w:p w14:paraId="2EEE587A" w14:textId="60787947" w:rsidR="00EE1E40" w:rsidRDefault="00EE1E40">
            <w:r>
              <w:t>Ny lovbekendtgørelse</w:t>
            </w:r>
            <w:r w:rsidR="00024BC7">
              <w:t xml:space="preserve">: </w:t>
            </w:r>
            <w:hyperlink w:anchor="A" w:history="1">
              <w:r w:rsidR="00024BC7" w:rsidRPr="00024BC7">
                <w:rPr>
                  <w:rStyle w:val="Hyperlink"/>
                </w:rPr>
                <w:t>lin</w:t>
              </w:r>
              <w:r w:rsidR="00024BC7" w:rsidRPr="00024BC7">
                <w:rPr>
                  <w:rStyle w:val="Hyperlink"/>
                </w:rPr>
                <w:t>k</w:t>
              </w:r>
            </w:hyperlink>
          </w:p>
          <w:p w14:paraId="6B20E93B" w14:textId="77777777" w:rsidR="00024BC7" w:rsidRDefault="00024BC7"/>
          <w:p w14:paraId="6C67D296" w14:textId="3097D566" w:rsidR="00024BC7" w:rsidRDefault="00850F32">
            <w:r>
              <w:t xml:space="preserve">Ny indsigt i Finanstilsynets praksis ved egnethedsvurderinger: </w:t>
            </w:r>
            <w:hyperlink w:anchor="B" w:history="1">
              <w:r w:rsidRPr="00850F32">
                <w:rPr>
                  <w:rStyle w:val="Hyperlink"/>
                </w:rPr>
                <w:t>li</w:t>
              </w:r>
              <w:r w:rsidRPr="00850F32">
                <w:rPr>
                  <w:rStyle w:val="Hyperlink"/>
                </w:rPr>
                <w:t>n</w:t>
              </w:r>
              <w:r w:rsidRPr="00850F32">
                <w:rPr>
                  <w:rStyle w:val="Hyperlink"/>
                </w:rPr>
                <w:t>k</w:t>
              </w:r>
            </w:hyperlink>
          </w:p>
          <w:p w14:paraId="481685F7" w14:textId="77777777" w:rsidR="00850F32" w:rsidRDefault="00850F32"/>
          <w:p w14:paraId="55BCE1EE" w14:textId="23CBF141" w:rsidR="00850F32" w:rsidRDefault="00D84B4F">
            <w:r>
              <w:t xml:space="preserve">Ændringer i en række bestemmelser i MiFIR </w:t>
            </w:r>
            <w:r w:rsidR="006664B7">
              <w:t xml:space="preserve">om gennemsigtighed, konsoliderede handelsdata m.v.: </w:t>
            </w:r>
            <w:hyperlink w:anchor="C" w:history="1">
              <w:r w:rsidR="006664B7" w:rsidRPr="006664B7">
                <w:rPr>
                  <w:rStyle w:val="Hyperlink"/>
                </w:rPr>
                <w:t>li</w:t>
              </w:r>
              <w:r w:rsidR="006664B7" w:rsidRPr="006664B7">
                <w:rPr>
                  <w:rStyle w:val="Hyperlink"/>
                </w:rPr>
                <w:t>n</w:t>
              </w:r>
              <w:r w:rsidR="006664B7" w:rsidRPr="006664B7">
                <w:rPr>
                  <w:rStyle w:val="Hyperlink"/>
                </w:rPr>
                <w:t>k</w:t>
              </w:r>
            </w:hyperlink>
          </w:p>
          <w:p w14:paraId="0AA6165E" w14:textId="77777777" w:rsidR="00FD7BFA" w:rsidRDefault="00FD7BFA"/>
          <w:p w14:paraId="50F3C6F6" w14:textId="1AB44607" w:rsidR="00FD7BFA" w:rsidRDefault="00FD7BFA">
            <w:r>
              <w:t xml:space="preserve">Ændringer i </w:t>
            </w:r>
            <w:r w:rsidR="0036449E">
              <w:t>niveau 2-regler om nedskrivning</w:t>
            </w:r>
            <w:r w:rsidR="00AB00AA">
              <w:t>srelevante</w:t>
            </w:r>
            <w:r w:rsidR="00A45C4D">
              <w:t xml:space="preserve"> passiver</w:t>
            </w:r>
            <w:r w:rsidR="00AF1E1D">
              <w:t xml:space="preserve"> under</w:t>
            </w:r>
            <w:r w:rsidR="0036449E">
              <w:t xml:space="preserve"> </w:t>
            </w:r>
            <w:r>
              <w:t>BRRD</w:t>
            </w:r>
            <w:r w:rsidR="00AF1E1D">
              <w:t xml:space="preserve">: </w:t>
            </w:r>
            <w:hyperlink w:anchor="D" w:history="1">
              <w:r w:rsidR="00AF1E1D" w:rsidRPr="00AF1E1D">
                <w:rPr>
                  <w:rStyle w:val="Hyperlink"/>
                </w:rPr>
                <w:t>li</w:t>
              </w:r>
              <w:r w:rsidR="00AF1E1D" w:rsidRPr="00AF1E1D">
                <w:rPr>
                  <w:rStyle w:val="Hyperlink"/>
                </w:rPr>
                <w:t>n</w:t>
              </w:r>
              <w:r w:rsidR="00AF1E1D" w:rsidRPr="00AF1E1D">
                <w:rPr>
                  <w:rStyle w:val="Hyperlink"/>
                </w:rPr>
                <w:t>k</w:t>
              </w:r>
            </w:hyperlink>
          </w:p>
          <w:p w14:paraId="46E9F7C4" w14:textId="77777777" w:rsidR="00AF1E1D" w:rsidRDefault="00AF1E1D"/>
          <w:p w14:paraId="71EBA484" w14:textId="1557F004" w:rsidR="00AF1E1D" w:rsidRDefault="00AF1E1D">
            <w:r>
              <w:t>ESMAs å</w:t>
            </w:r>
            <w:r w:rsidR="00F65E72">
              <w:t xml:space="preserve">rlige beregninger </w:t>
            </w:r>
            <w:r w:rsidR="007B41B2">
              <w:t xml:space="preserve">for gennemsigtighed for aktier og aktielignende instrumenter: </w:t>
            </w:r>
            <w:hyperlink w:anchor="E" w:history="1">
              <w:r w:rsidR="007B41B2" w:rsidRPr="007B41B2">
                <w:rPr>
                  <w:rStyle w:val="Hyperlink"/>
                </w:rPr>
                <w:t>link</w:t>
              </w:r>
            </w:hyperlink>
          </w:p>
          <w:p w14:paraId="2699C75C" w14:textId="77777777" w:rsidR="007B41B2" w:rsidRDefault="007B41B2"/>
          <w:p w14:paraId="33D87D77" w14:textId="525A02F4" w:rsidR="007B41B2" w:rsidRDefault="00E107D4">
            <w:r>
              <w:t>Udtalelse fra ESMA om overgan</w:t>
            </w:r>
            <w:r w:rsidR="00436DC1">
              <w:t>gen til nye MiFIR-</w:t>
            </w:r>
            <w:r w:rsidR="00BF166F">
              <w:t>regler</w:t>
            </w:r>
            <w:r w:rsidR="00436DC1">
              <w:t xml:space="preserve">: </w:t>
            </w:r>
            <w:hyperlink w:anchor="F" w:history="1">
              <w:r w:rsidR="00436DC1" w:rsidRPr="00436DC1">
                <w:rPr>
                  <w:rStyle w:val="Hyperlink"/>
                </w:rPr>
                <w:t>link</w:t>
              </w:r>
            </w:hyperlink>
          </w:p>
          <w:p w14:paraId="774E809C" w14:textId="77777777" w:rsidR="00EE1E40" w:rsidRDefault="00EE1E40"/>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5C31C160" w14:textId="77777777" w:rsidR="00BE4C01" w:rsidRDefault="00BE4C01"/>
          <w:p w14:paraId="7584C565" w14:textId="77777777" w:rsidR="00B926E6" w:rsidRPr="00B926E6" w:rsidRDefault="00B926E6" w:rsidP="00B926E6">
            <w:pPr>
              <w:rPr>
                <w:b/>
                <w:bCs/>
              </w:rPr>
            </w:pPr>
            <w:bookmarkStart w:id="0" w:name="A"/>
            <w:r w:rsidRPr="00B926E6">
              <w:rPr>
                <w:b/>
                <w:bCs/>
              </w:rPr>
              <w:t>Bekendtgørelse nr. 232 af 1. marts 2024 af lov om fondsmæglerselskaber og investeringsservice og -aktiviteter</w:t>
            </w:r>
          </w:p>
          <w:bookmarkEnd w:id="0"/>
          <w:p w14:paraId="6E58A22B" w14:textId="77777777" w:rsidR="000A4B27" w:rsidRDefault="000A4B27" w:rsidP="00B926E6"/>
          <w:p w14:paraId="01959A6C" w14:textId="1F7BE04D" w:rsidR="00B926E6" w:rsidRPr="00B926E6" w:rsidRDefault="00B926E6" w:rsidP="00B926E6">
            <w:r w:rsidRPr="00B926E6">
              <w:t>Ny lovbekendtgørelse</w:t>
            </w:r>
            <w:r w:rsidR="00C478B5">
              <w:t xml:space="preserve">, som indarbejder </w:t>
            </w:r>
            <w:r w:rsidR="000A4B27">
              <w:t>de seneste lovændringer</w:t>
            </w:r>
            <w:r w:rsidRPr="00B926E6">
              <w:t>.</w:t>
            </w:r>
          </w:p>
          <w:p w14:paraId="52D70F89" w14:textId="77777777" w:rsidR="000A4B27" w:rsidRDefault="000A4B27" w:rsidP="00B926E6"/>
          <w:p w14:paraId="6351D5E8" w14:textId="42BC74BB" w:rsidR="00B926E6" w:rsidRPr="00B926E6" w:rsidRDefault="00B926E6" w:rsidP="00B926E6">
            <w:r w:rsidRPr="00B926E6">
              <w:t xml:space="preserve">(Offentliggjort den 9. marts 2024, </w:t>
            </w:r>
            <w:hyperlink r:id="rId8" w:history="1">
              <w:r w:rsidRPr="00B926E6">
                <w:rPr>
                  <w:rStyle w:val="Hyperlink"/>
                </w:rPr>
                <w:t>link</w:t>
              </w:r>
            </w:hyperlink>
            <w:r w:rsidRPr="00B926E6">
              <w:t>)</w:t>
            </w:r>
          </w:p>
          <w:p w14:paraId="1136A53C" w14:textId="77777777" w:rsidR="00B926E6" w:rsidRDefault="00B926E6"/>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1EA4793F" w14:textId="77777777" w:rsidR="00BE4C01" w:rsidRDefault="00BE4C01"/>
          <w:p w14:paraId="5B00EB60" w14:textId="77777777" w:rsidR="00EA2769" w:rsidRPr="00EA2769" w:rsidRDefault="00EA2769" w:rsidP="00EA2769">
            <w:pPr>
              <w:rPr>
                <w:b/>
                <w:bCs/>
              </w:rPr>
            </w:pPr>
            <w:bookmarkStart w:id="1" w:name="B"/>
            <w:r w:rsidRPr="00EA2769">
              <w:rPr>
                <w:b/>
                <w:bCs/>
              </w:rPr>
              <w:t>Praksis for Finanstilsynets egnethedsvurderinger</w:t>
            </w:r>
          </w:p>
          <w:bookmarkEnd w:id="1"/>
          <w:p w14:paraId="40C7225B" w14:textId="77777777" w:rsidR="000A4B27" w:rsidRDefault="000A4B27" w:rsidP="00EA2769"/>
          <w:p w14:paraId="4D529B57" w14:textId="59522E4D" w:rsidR="00EA2769" w:rsidRPr="00EA2769" w:rsidRDefault="00EA2769" w:rsidP="00EA2769">
            <w:r w:rsidRPr="00EA2769">
              <w:t xml:space="preserve">For første gang udgiver Finanstilsynet en redegørelse om praksis for egnethedsvurderinger af ledende medarbejdere i virksomheder på det finansielle område. Finanstilsynet vil fremover skulle offentliggøre lignede redegørelser årligt. </w:t>
            </w:r>
          </w:p>
          <w:p w14:paraId="1DC188B9" w14:textId="77777777" w:rsidR="000A4B27" w:rsidRDefault="000A4B27" w:rsidP="00EA2769"/>
          <w:p w14:paraId="751E2DCC" w14:textId="327DC37E" w:rsidR="00EA2769" w:rsidRPr="00EA2769" w:rsidRDefault="00EA2769" w:rsidP="00EA2769">
            <w:r w:rsidRPr="00EA2769">
              <w:t xml:space="preserve">(Offentliggjort den 4. marts 2024, </w:t>
            </w:r>
            <w:hyperlink r:id="rId9" w:history="1">
              <w:r w:rsidRPr="00EA2769">
                <w:rPr>
                  <w:rStyle w:val="Hyperlink"/>
                </w:rPr>
                <w:t>link</w:t>
              </w:r>
            </w:hyperlink>
            <w:r w:rsidRPr="00EA2769">
              <w:t>)</w:t>
            </w:r>
          </w:p>
          <w:p w14:paraId="2BE89B52" w14:textId="77777777" w:rsidR="00EA2769" w:rsidRDefault="00EA2769"/>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472BC626" w14:textId="77777777" w:rsidR="00BE4C01" w:rsidRDefault="00BE4C01"/>
          <w:p w14:paraId="01F58735" w14:textId="77777777" w:rsidR="005C2CDA" w:rsidRPr="005C2CDA" w:rsidRDefault="005C2CDA" w:rsidP="005C2CDA">
            <w:bookmarkStart w:id="2" w:name="C"/>
            <w:r w:rsidRPr="005C2CDA">
              <w:rPr>
                <w:b/>
                <w:bCs/>
              </w:rPr>
              <w:t>Europa-Parlamentets og Rådets forordning (EU) 2024/791 af 28. februar 2024 om ændring af forordning (EU) nr. 600/2014 for så vidt angår forbedring af gennemsigtigheden af data, fjernelse af hindringer for fremkomsten af konsoliderede løbende handelsinformationer, optimering af handelsforpligtelserne og forbud mod at modtage betaling for ordreflow</w:t>
            </w:r>
          </w:p>
          <w:bookmarkEnd w:id="2"/>
          <w:p w14:paraId="3C8B1F2B" w14:textId="77777777" w:rsidR="000A4B27" w:rsidRDefault="000A4B27" w:rsidP="005C2CDA"/>
          <w:p w14:paraId="4350A8E9" w14:textId="24DF5F30" w:rsidR="005C2CDA" w:rsidRPr="005C2CDA" w:rsidRDefault="005C2CDA" w:rsidP="005C2CDA">
            <w:r w:rsidRPr="005C2CDA">
              <w:lastRenderedPageBreak/>
              <w:t>Forordningen ændrer i MiFIR. Med ændringerne indføres bl.a. konsolideret løbende handelsinformation på EU-plan eller centraliserede datafeeds for forskellige typer aktiver, der samler markedsdata fra platforme, hvor finansielle instrumenter handles i EU. Endvidere justeres der på forskellig</w:t>
            </w:r>
            <w:r w:rsidR="00D5741A">
              <w:t xml:space="preserve">e områder </w:t>
            </w:r>
            <w:r w:rsidRPr="005C2CDA">
              <w:t>i reglerne om gennemsigtighed for handler.</w:t>
            </w:r>
          </w:p>
          <w:p w14:paraId="086CD661" w14:textId="625CCA19" w:rsidR="005C2CDA" w:rsidRPr="005C2CDA" w:rsidRDefault="005C2CDA" w:rsidP="005C2CDA">
            <w:r w:rsidRPr="005C2CDA">
              <w:t xml:space="preserve">Med ændringerne indføres endvidere et generelt forbud mod "payment for order flow" (PFOF). Medlemsstater, hvor PFOF allerede eksisterer, kan tillade, at </w:t>
            </w:r>
            <w:r w:rsidR="00D5741A">
              <w:t xml:space="preserve">deres </w:t>
            </w:r>
            <w:r w:rsidRPr="005C2CDA">
              <w:t>investeringsselskaber undtages fra forbuddet, forudsat at PFOF kun udleveres til kunder i den pågældende medlemsstat. Denne praksis skal dog udfases senest den 30. juni 2026.</w:t>
            </w:r>
          </w:p>
          <w:p w14:paraId="526908A6" w14:textId="4E121BDE" w:rsidR="005C2CDA" w:rsidRDefault="005C2CDA" w:rsidP="005C2CDA">
            <w:r w:rsidRPr="005C2CDA">
              <w:t>Forordningen finder anvendelse fra den 28. marts 2024. Bestemmelser i delegerede retsakter, der var gældende før den 28. marts 2024, finder fortsat anvendelse</w:t>
            </w:r>
            <w:r w:rsidR="00FD5C72">
              <w:t>,</w:t>
            </w:r>
            <w:r w:rsidRPr="005C2CDA">
              <w:t xml:space="preserve"> indtil de bliver afløst af nye regler.</w:t>
            </w:r>
            <w:r w:rsidR="00F97B3C">
              <w:t xml:space="preserve"> Se også</w:t>
            </w:r>
            <w:r w:rsidR="004449C4">
              <w:t xml:space="preserve"> udtalelsen fra ESMA nedenfor.</w:t>
            </w:r>
          </w:p>
          <w:p w14:paraId="74342E8C" w14:textId="77777777" w:rsidR="00F02E17" w:rsidRPr="005C2CDA" w:rsidRDefault="00F02E17" w:rsidP="005C2CDA"/>
          <w:p w14:paraId="227DB81A" w14:textId="77777777" w:rsidR="005C2CDA" w:rsidRPr="005C2CDA" w:rsidRDefault="005C2CDA" w:rsidP="005C2CDA">
            <w:r w:rsidRPr="005C2CDA">
              <w:t xml:space="preserve">(Offentliggjort den 8. marts 2024, </w:t>
            </w:r>
            <w:hyperlink r:id="rId10" w:history="1">
              <w:r w:rsidRPr="005C2CDA">
                <w:rPr>
                  <w:rStyle w:val="Hyperlink"/>
                </w:rPr>
                <w:t>link</w:t>
              </w:r>
            </w:hyperlink>
            <w:r w:rsidRPr="005C2CDA">
              <w:t>)</w:t>
            </w:r>
          </w:p>
          <w:p w14:paraId="010E559B" w14:textId="77777777" w:rsidR="005C2CDA" w:rsidRDefault="005C2CDA"/>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lastRenderedPageBreak/>
              <w:t>Niveau 2</w:t>
            </w:r>
          </w:p>
        </w:tc>
      </w:tr>
      <w:tr w:rsidR="00BE4C01" w14:paraId="041C1121" w14:textId="77777777" w:rsidTr="00BE4C01">
        <w:tc>
          <w:tcPr>
            <w:tcW w:w="9628" w:type="dxa"/>
          </w:tcPr>
          <w:p w14:paraId="2C6B8E51" w14:textId="77777777" w:rsidR="00BE4C01" w:rsidRDefault="00BE4C01"/>
          <w:p w14:paraId="595D0706" w14:textId="77777777" w:rsidR="001016F3" w:rsidRPr="001016F3" w:rsidRDefault="001016F3" w:rsidP="001016F3">
            <w:pPr>
              <w:rPr>
                <w:b/>
                <w:bCs/>
              </w:rPr>
            </w:pPr>
            <w:bookmarkStart w:id="3" w:name="D"/>
            <w:r w:rsidRPr="001016F3">
              <w:rPr>
                <w:b/>
                <w:bCs/>
              </w:rPr>
              <w:t>Kommissionens delegerede forordning (EU) 2024/895 af 13. december 2023 om ændring af delegeret forordning (EU) 2015/63 for så vidt angår beregningen af nedskrivningsrelevante passiver og overgangsordningen</w:t>
            </w:r>
          </w:p>
          <w:bookmarkEnd w:id="3"/>
          <w:p w14:paraId="761FC466" w14:textId="77777777" w:rsidR="004449C4" w:rsidRDefault="004449C4" w:rsidP="001016F3"/>
          <w:p w14:paraId="60E3520F" w14:textId="35E39033" w:rsidR="001016F3" w:rsidRPr="001016F3" w:rsidRDefault="001016F3" w:rsidP="001016F3">
            <w:r w:rsidRPr="001016F3">
              <w:t>Der er tale om ændring af niveau 2-regler under BRRD, som følger efter ændringer af BRRD ved direktiv (EU) 2019/879.</w:t>
            </w:r>
          </w:p>
          <w:p w14:paraId="0BD00456" w14:textId="77777777" w:rsidR="001016F3" w:rsidRPr="001016F3" w:rsidRDefault="001016F3" w:rsidP="001016F3">
            <w:r w:rsidRPr="001016F3">
              <w:t xml:space="preserve">Ændringerne i niveau 2-reglerne finder anvendelse fra den 21. marts 2024, idet visse bestemmelser dog finder anvendelse fra den 1. december 2023. </w:t>
            </w:r>
          </w:p>
          <w:p w14:paraId="13B5F74C" w14:textId="77777777" w:rsidR="004449C4" w:rsidRDefault="004449C4" w:rsidP="001016F3"/>
          <w:p w14:paraId="46430686" w14:textId="3BBE6F05" w:rsidR="001016F3" w:rsidRPr="001016F3" w:rsidRDefault="001016F3" w:rsidP="001016F3">
            <w:r w:rsidRPr="001016F3">
              <w:t xml:space="preserve">(Offentliggjort den 20. marts 2024, </w:t>
            </w:r>
            <w:hyperlink r:id="rId11" w:history="1">
              <w:r w:rsidRPr="001016F3">
                <w:rPr>
                  <w:rStyle w:val="Hyperlink"/>
                </w:rPr>
                <w:t>li</w:t>
              </w:r>
              <w:r w:rsidRPr="001016F3">
                <w:rPr>
                  <w:rStyle w:val="Hyperlink"/>
                </w:rPr>
                <w:t>n</w:t>
              </w:r>
              <w:r w:rsidRPr="001016F3">
                <w:rPr>
                  <w:rStyle w:val="Hyperlink"/>
                </w:rPr>
                <w:t>k</w:t>
              </w:r>
            </w:hyperlink>
            <w:r w:rsidRPr="001016F3">
              <w:t>)</w:t>
            </w:r>
          </w:p>
          <w:p w14:paraId="570C0B58" w14:textId="77777777" w:rsidR="001016F3" w:rsidRDefault="001016F3"/>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36E76877" w14:textId="77777777" w:rsidR="00BE4C01" w:rsidRDefault="00BE4C01"/>
          <w:p w14:paraId="7464087C" w14:textId="77777777" w:rsidR="008F6008" w:rsidRPr="008F6008" w:rsidRDefault="008F6008" w:rsidP="008F6008">
            <w:r w:rsidRPr="008F6008">
              <w:t>(Intet nyt)</w:t>
            </w:r>
          </w:p>
          <w:p w14:paraId="5E1E2D1B" w14:textId="77777777" w:rsidR="008F6008" w:rsidRDefault="008F6008"/>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2468B78B" w14:textId="77777777" w:rsidR="00BE4C01" w:rsidRDefault="00BE4C01"/>
          <w:p w14:paraId="51AAD0E9" w14:textId="77777777" w:rsidR="00351B25" w:rsidRPr="00351B25" w:rsidRDefault="00351B25" w:rsidP="00351B25">
            <w:pPr>
              <w:rPr>
                <w:b/>
                <w:bCs/>
              </w:rPr>
            </w:pPr>
            <w:bookmarkStart w:id="4" w:name="E"/>
            <w:r w:rsidRPr="00351B25">
              <w:rPr>
                <w:b/>
                <w:bCs/>
              </w:rPr>
              <w:t>ESMA offentliggør resultaterne af de årlige gennemsigtighedsberegninger for aktieinstrumenter og aktielignende instrumenter</w:t>
            </w:r>
            <w:bookmarkEnd w:id="4"/>
          </w:p>
          <w:p w14:paraId="40499240" w14:textId="77777777" w:rsidR="004449C4" w:rsidRDefault="004449C4" w:rsidP="00351B25"/>
          <w:p w14:paraId="211D578F" w14:textId="5B965157" w:rsidR="00351B25" w:rsidRPr="00351B25" w:rsidRDefault="00E25A2F" w:rsidP="00351B25">
            <w:r>
              <w:t>Resultatet af t</w:t>
            </w:r>
            <w:r w:rsidR="00950132">
              <w:t>ransparensberegningerne</w:t>
            </w:r>
            <w:r w:rsidR="00351B25" w:rsidRPr="00351B25">
              <w:t xml:space="preserve"> for aktieinstrumenter og aktielignende instrumenter finder anvendelse fra 1. april 2024.</w:t>
            </w:r>
          </w:p>
          <w:p w14:paraId="7DDDBEA4" w14:textId="77777777" w:rsidR="004449C4" w:rsidRDefault="004449C4" w:rsidP="00351B25"/>
          <w:p w14:paraId="7DB4C56A" w14:textId="479A19D4" w:rsidR="00351B25" w:rsidRPr="00351B25" w:rsidRDefault="00351B25" w:rsidP="00351B25">
            <w:r w:rsidRPr="00351B25">
              <w:t xml:space="preserve">(Offentliggjort den 1. marts 2024, </w:t>
            </w:r>
            <w:hyperlink r:id="rId12" w:history="1">
              <w:r w:rsidRPr="00351B25">
                <w:rPr>
                  <w:rStyle w:val="Hyperlink"/>
                </w:rPr>
                <w:t>link</w:t>
              </w:r>
            </w:hyperlink>
            <w:r w:rsidRPr="00351B25">
              <w:t>)</w:t>
            </w:r>
          </w:p>
          <w:p w14:paraId="5F7D7376" w14:textId="77777777" w:rsidR="00351B25" w:rsidRDefault="00351B25"/>
          <w:p w14:paraId="47F22633" w14:textId="77777777" w:rsidR="00351B25" w:rsidRDefault="00351B25"/>
          <w:p w14:paraId="1C450562" w14:textId="77777777" w:rsidR="0056199F" w:rsidRPr="0056199F" w:rsidRDefault="0056199F" w:rsidP="0056199F">
            <w:pPr>
              <w:rPr>
                <w:b/>
                <w:bCs/>
              </w:rPr>
            </w:pPr>
            <w:bookmarkStart w:id="5" w:name="F"/>
            <w:r w:rsidRPr="0056199F">
              <w:rPr>
                <w:b/>
                <w:bCs/>
              </w:rPr>
              <w:t>ESMA præciserer anvendelsen af visse MIFIR-bestemmelser, herunder volume cap</w:t>
            </w:r>
            <w:bookmarkEnd w:id="5"/>
          </w:p>
          <w:p w14:paraId="55B0033A" w14:textId="77777777" w:rsidR="004449C4" w:rsidRDefault="004449C4" w:rsidP="0056199F"/>
          <w:p w14:paraId="1EEC4FE1" w14:textId="036FA521" w:rsidR="0056199F" w:rsidRPr="0056199F" w:rsidRDefault="0056199F" w:rsidP="0056199F">
            <w:r w:rsidRPr="0056199F">
              <w:t xml:space="preserve">ESMA har offentliggjort en udtalelse om overgangen til de nye regler efter revisionen af MiFIR. Udtalelsen skal supplere </w:t>
            </w:r>
            <w:r>
              <w:t xml:space="preserve">en endnu ikke vedtaget </w:t>
            </w:r>
            <w:r w:rsidRPr="0056199F">
              <w:t xml:space="preserve">fortolkningsmeddelelse </w:t>
            </w:r>
            <w:r>
              <w:t>fra Kommissionen om samme emne</w:t>
            </w:r>
            <w:r w:rsidRPr="0056199F">
              <w:t>.</w:t>
            </w:r>
            <w:r w:rsidR="00D84350">
              <w:t xml:space="preserve"> Udtalelsen er </w:t>
            </w:r>
            <w:r w:rsidR="00744898">
              <w:t xml:space="preserve">bl.a. nødvendiggjort af forskelle mellem nye bestemmelser i MiFIR og </w:t>
            </w:r>
            <w:r w:rsidR="00EA114C">
              <w:t>eksisterende niveau 2-regler, som bevares</w:t>
            </w:r>
            <w:r w:rsidR="00E107D4">
              <w:t>,</w:t>
            </w:r>
            <w:r w:rsidR="00EA114C">
              <w:t xml:space="preserve"> indtil de bliver afløst af nye</w:t>
            </w:r>
            <w:r w:rsidR="00E107D4">
              <w:t>.</w:t>
            </w:r>
            <w:r w:rsidR="00EA114C">
              <w:t xml:space="preserve"> </w:t>
            </w:r>
            <w:r w:rsidRPr="0056199F">
              <w:t xml:space="preserve"> </w:t>
            </w:r>
          </w:p>
          <w:p w14:paraId="1D973A69" w14:textId="77777777" w:rsidR="004449C4" w:rsidRDefault="004449C4" w:rsidP="0056199F"/>
          <w:p w14:paraId="6AC124F5" w14:textId="5C78B3D1" w:rsidR="0056199F" w:rsidRPr="0056199F" w:rsidRDefault="0056199F" w:rsidP="0056199F">
            <w:r w:rsidRPr="0056199F">
              <w:t xml:space="preserve">(Offentliggjort den 27. marts 2024, </w:t>
            </w:r>
            <w:hyperlink r:id="rId13" w:history="1">
              <w:r w:rsidRPr="0056199F">
                <w:rPr>
                  <w:rStyle w:val="Hyperlink"/>
                </w:rPr>
                <w:t>lin</w:t>
              </w:r>
              <w:r w:rsidRPr="0056199F">
                <w:rPr>
                  <w:rStyle w:val="Hyperlink"/>
                </w:rPr>
                <w:t>k</w:t>
              </w:r>
            </w:hyperlink>
            <w:r w:rsidRPr="0056199F">
              <w:t>)</w:t>
            </w:r>
          </w:p>
          <w:p w14:paraId="29E632A3" w14:textId="77777777" w:rsidR="0056199F" w:rsidRDefault="0056199F"/>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5"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24BC7"/>
    <w:rsid w:val="000A4B27"/>
    <w:rsid w:val="001016F3"/>
    <w:rsid w:val="001163B2"/>
    <w:rsid w:val="00136D9B"/>
    <w:rsid w:val="001D2801"/>
    <w:rsid w:val="00265438"/>
    <w:rsid w:val="002B6B87"/>
    <w:rsid w:val="00344CB3"/>
    <w:rsid w:val="00351B25"/>
    <w:rsid w:val="0036449E"/>
    <w:rsid w:val="003B7D51"/>
    <w:rsid w:val="00427ED3"/>
    <w:rsid w:val="00436DC1"/>
    <w:rsid w:val="004449C4"/>
    <w:rsid w:val="0045749D"/>
    <w:rsid w:val="004D740B"/>
    <w:rsid w:val="00533C93"/>
    <w:rsid w:val="0056199F"/>
    <w:rsid w:val="005945AC"/>
    <w:rsid w:val="005C2158"/>
    <w:rsid w:val="005C2CDA"/>
    <w:rsid w:val="005C6A89"/>
    <w:rsid w:val="006664B7"/>
    <w:rsid w:val="006C0074"/>
    <w:rsid w:val="00744898"/>
    <w:rsid w:val="007B41B2"/>
    <w:rsid w:val="00850F32"/>
    <w:rsid w:val="008F6008"/>
    <w:rsid w:val="00901B6B"/>
    <w:rsid w:val="00950132"/>
    <w:rsid w:val="009911B9"/>
    <w:rsid w:val="00A45C4D"/>
    <w:rsid w:val="00A97075"/>
    <w:rsid w:val="00AB00AA"/>
    <w:rsid w:val="00AC0522"/>
    <w:rsid w:val="00AF1E1D"/>
    <w:rsid w:val="00B926E6"/>
    <w:rsid w:val="00BC1F31"/>
    <w:rsid w:val="00BE4C01"/>
    <w:rsid w:val="00BF166F"/>
    <w:rsid w:val="00C21A39"/>
    <w:rsid w:val="00C478B5"/>
    <w:rsid w:val="00D5741A"/>
    <w:rsid w:val="00D84350"/>
    <w:rsid w:val="00D84B4F"/>
    <w:rsid w:val="00DD48DD"/>
    <w:rsid w:val="00E107D4"/>
    <w:rsid w:val="00E25A2F"/>
    <w:rsid w:val="00EA114C"/>
    <w:rsid w:val="00EA2769"/>
    <w:rsid w:val="00EE1E40"/>
    <w:rsid w:val="00F02E17"/>
    <w:rsid w:val="00F10BC1"/>
    <w:rsid w:val="00F65E72"/>
    <w:rsid w:val="00F97B3C"/>
    <w:rsid w:val="00FA05DA"/>
    <w:rsid w:val="00FA2E68"/>
    <w:rsid w:val="00FD5C72"/>
    <w:rsid w:val="00FD7B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FD7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232" TargetMode="External"/><Relationship Id="rId13" Type="http://schemas.openxmlformats.org/officeDocument/2006/relationships/hyperlink" Target="https://www.esma.europa.eu/press-news/esma-news/esma-clarifies-application-certain-mifir-provisions-including-volume-ca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ma.europa.eu/press-news/esma-news/esma-publishes-results-annual-transparency-calculations-equity-and-equity-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DA/TXT/?uri=CELEX:32024R0895" TargetMode="External"/><Relationship Id="rId5" Type="http://schemas.openxmlformats.org/officeDocument/2006/relationships/styles" Target="styles.xml"/><Relationship Id="rId15" Type="http://schemas.openxmlformats.org/officeDocument/2006/relationships/hyperlink" Target="mailto:cas@capitallawcph.dk" TargetMode="External"/><Relationship Id="rId10" Type="http://schemas.openxmlformats.org/officeDocument/2006/relationships/hyperlink" Target="https://eur-lex.europa.eu/legal-content/DA/TXT/?uri=OJ:L_202400791" TargetMode="External"/><Relationship Id="rId4" Type="http://schemas.openxmlformats.org/officeDocument/2006/relationships/numbering" Target="numbering.xml"/><Relationship Id="rId9" Type="http://schemas.openxmlformats.org/officeDocument/2006/relationships/hyperlink" Target="https://www.finanstilsynet.dk/Nyheder-og-Presse/Pressemeddelelser/2024/Praksis_for_Finanstilsynets_egnetheds_vurderinger_" TargetMode="Externa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2.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4AD3D-F638-4681-B165-D4FC1736A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735</Words>
  <Characters>4486</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40</cp:revision>
  <dcterms:created xsi:type="dcterms:W3CDTF">2024-04-02T07:53:00Z</dcterms:created>
  <dcterms:modified xsi:type="dcterms:W3CDTF">2024-04-02T08:28:00Z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