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30835" w14:textId="77777777" w:rsidR="00BE4C01" w:rsidRPr="000F4E7D" w:rsidRDefault="00BE4C01" w:rsidP="00BE4C01">
      <w:pPr>
        <w:jc w:val="both"/>
        <w:rPr>
          <w:sz w:val="28"/>
          <w:szCs w:val="28"/>
        </w:rPr>
      </w:pPr>
      <w:r w:rsidRPr="000F4E7D">
        <w:rPr>
          <w:sz w:val="28"/>
          <w:szCs w:val="28"/>
        </w:rPr>
        <w:t xml:space="preserve">Ny finansiel regulering for fondsmæglerselskaber </w:t>
      </w:r>
    </w:p>
    <w:p w14:paraId="300EB7E4" w14:textId="2B2602FB" w:rsidR="00BE4C01" w:rsidRPr="000F4E7D" w:rsidRDefault="00BE4C01" w:rsidP="00BE4C01">
      <w:pPr>
        <w:jc w:val="both"/>
      </w:pPr>
      <w:r w:rsidRPr="000F4E7D">
        <w:t xml:space="preserve">Opdatering for </w:t>
      </w:r>
      <w:r w:rsidR="002C6109" w:rsidRPr="000F4E7D">
        <w:t>april</w:t>
      </w:r>
      <w:r w:rsidRPr="000F4E7D">
        <w:t xml:space="preserve"> måned 202</w:t>
      </w:r>
      <w:r w:rsidR="005C2158" w:rsidRPr="000F4E7D">
        <w:t>4</w:t>
      </w:r>
    </w:p>
    <w:p w14:paraId="4FC69AF0" w14:textId="77777777" w:rsidR="00DD48DD" w:rsidRPr="000F4E7D" w:rsidRDefault="00DD48DD"/>
    <w:tbl>
      <w:tblPr>
        <w:tblStyle w:val="Tabel-Gitter"/>
        <w:tblW w:w="0" w:type="auto"/>
        <w:tblLook w:val="04A0" w:firstRow="1" w:lastRow="0" w:firstColumn="1" w:lastColumn="0" w:noHBand="0" w:noVBand="1"/>
      </w:tblPr>
      <w:tblGrid>
        <w:gridCol w:w="9628"/>
      </w:tblGrid>
      <w:tr w:rsidR="00BE4C01" w:rsidRPr="000F4E7D" w14:paraId="00166C89" w14:textId="77777777" w:rsidTr="0045749D">
        <w:tc>
          <w:tcPr>
            <w:tcW w:w="9628" w:type="dxa"/>
            <w:shd w:val="clear" w:color="auto" w:fill="D9D9D9" w:themeFill="background1" w:themeFillShade="D9"/>
          </w:tcPr>
          <w:p w14:paraId="6AB36AD5" w14:textId="79E26B0B" w:rsidR="00BE4C01" w:rsidRPr="000F4E7D" w:rsidRDefault="005945AC">
            <w:pPr>
              <w:rPr>
                <w:b/>
                <w:bCs/>
              </w:rPr>
            </w:pPr>
            <w:r w:rsidRPr="000F4E7D">
              <w:rPr>
                <w:b/>
                <w:bCs/>
              </w:rPr>
              <w:t>OVERBLIK</w:t>
            </w:r>
          </w:p>
        </w:tc>
      </w:tr>
      <w:tr w:rsidR="00BE4C01" w:rsidRPr="000F4E7D" w14:paraId="19A8CD66" w14:textId="77777777" w:rsidTr="00BE4C01">
        <w:tc>
          <w:tcPr>
            <w:tcW w:w="9628" w:type="dxa"/>
          </w:tcPr>
          <w:p w14:paraId="3D1AB468" w14:textId="77777777" w:rsidR="00BE4C01" w:rsidRDefault="00BE4C01"/>
          <w:p w14:paraId="3A008FCC" w14:textId="292BAF3C" w:rsidR="009054F1" w:rsidRDefault="0066792C">
            <w:r>
              <w:t>Nye retningslinjer for genindsendelse af data ved f</w:t>
            </w:r>
            <w:r w:rsidR="00846558">
              <w:t xml:space="preserve">ejl og andre ændringer: </w:t>
            </w:r>
            <w:hyperlink w:anchor="B" w:history="1">
              <w:r w:rsidR="00846558" w:rsidRPr="00846558">
                <w:rPr>
                  <w:rStyle w:val="Hyperlink"/>
                </w:rPr>
                <w:t>link</w:t>
              </w:r>
            </w:hyperlink>
          </w:p>
          <w:p w14:paraId="526718F1" w14:textId="77777777" w:rsidR="00846558" w:rsidRDefault="00846558"/>
          <w:p w14:paraId="780B6311" w14:textId="0C3DAE65" w:rsidR="00846558" w:rsidRDefault="00073384">
            <w:r>
              <w:t>Nye retningslinjer for koncernkapitaltesten iht. IFR artikel 8:</w:t>
            </w:r>
            <w:r w:rsidR="008111D7">
              <w:t xml:space="preserve"> </w:t>
            </w:r>
            <w:hyperlink w:anchor="C" w:history="1">
              <w:r w:rsidR="008111D7" w:rsidRPr="008111D7">
                <w:rPr>
                  <w:rStyle w:val="Hyperlink"/>
                </w:rPr>
                <w:t>link</w:t>
              </w:r>
            </w:hyperlink>
          </w:p>
          <w:p w14:paraId="10A35F18" w14:textId="77777777" w:rsidR="008111D7" w:rsidRDefault="008111D7"/>
          <w:p w14:paraId="6B1212ED" w14:textId="49DCFDD6" w:rsidR="008111D7" w:rsidRDefault="008111D7">
            <w:r>
              <w:t xml:space="preserve">Årlige gennemsigtighedsberegninger for </w:t>
            </w:r>
            <w:r w:rsidR="00B14E26">
              <w:t xml:space="preserve">andre instrumenter end aktieinstrumenter: </w:t>
            </w:r>
            <w:hyperlink w:anchor="D" w:history="1">
              <w:r w:rsidR="00B14E26" w:rsidRPr="00B14E26">
                <w:rPr>
                  <w:rStyle w:val="Hyperlink"/>
                </w:rPr>
                <w:t>link</w:t>
              </w:r>
            </w:hyperlink>
          </w:p>
          <w:p w14:paraId="774E809C" w14:textId="77777777" w:rsidR="000F4E7D" w:rsidRPr="000F4E7D" w:rsidRDefault="000F4E7D"/>
        </w:tc>
      </w:tr>
      <w:tr w:rsidR="00BE4C01" w:rsidRPr="000F4E7D" w14:paraId="531CF982" w14:textId="77777777" w:rsidTr="0045749D">
        <w:tc>
          <w:tcPr>
            <w:tcW w:w="9628" w:type="dxa"/>
            <w:shd w:val="clear" w:color="auto" w:fill="D9D9D9" w:themeFill="background1" w:themeFillShade="D9"/>
          </w:tcPr>
          <w:p w14:paraId="7BDC7261" w14:textId="6D8F2E20" w:rsidR="00BE4C01" w:rsidRPr="000F4E7D" w:rsidRDefault="00BE4C01" w:rsidP="00BE4C01">
            <w:pPr>
              <w:pStyle w:val="Listeafsnit"/>
              <w:numPr>
                <w:ilvl w:val="0"/>
                <w:numId w:val="1"/>
              </w:numPr>
              <w:rPr>
                <w:b/>
                <w:bCs/>
              </w:rPr>
            </w:pPr>
            <w:r w:rsidRPr="000F4E7D">
              <w:rPr>
                <w:b/>
                <w:bCs/>
              </w:rPr>
              <w:t>DANSK REGULERING</w:t>
            </w:r>
          </w:p>
        </w:tc>
      </w:tr>
      <w:tr w:rsidR="00BE4C01" w:rsidRPr="000F4E7D" w14:paraId="31E09EBE" w14:textId="77777777" w:rsidTr="0045749D">
        <w:tc>
          <w:tcPr>
            <w:tcW w:w="9628" w:type="dxa"/>
            <w:shd w:val="clear" w:color="auto" w:fill="D9D9D9" w:themeFill="background1" w:themeFillShade="D9"/>
          </w:tcPr>
          <w:p w14:paraId="199CDD40" w14:textId="62239D98" w:rsidR="00BE4C01" w:rsidRPr="000F4E7D" w:rsidRDefault="00BE4C01" w:rsidP="00BE4C01">
            <w:pPr>
              <w:pStyle w:val="Listeafsnit"/>
              <w:numPr>
                <w:ilvl w:val="1"/>
                <w:numId w:val="1"/>
              </w:numPr>
              <w:rPr>
                <w:b/>
                <w:bCs/>
              </w:rPr>
            </w:pPr>
            <w:r w:rsidRPr="000F4E7D">
              <w:rPr>
                <w:b/>
                <w:bCs/>
              </w:rPr>
              <w:t xml:space="preserve"> Love</w:t>
            </w:r>
          </w:p>
        </w:tc>
      </w:tr>
      <w:tr w:rsidR="00BE4C01" w:rsidRPr="000F4E7D" w14:paraId="786DA9D6" w14:textId="77777777" w:rsidTr="00BE4C01">
        <w:tc>
          <w:tcPr>
            <w:tcW w:w="9628" w:type="dxa"/>
          </w:tcPr>
          <w:p w14:paraId="57F08DF8" w14:textId="77777777" w:rsidR="00BE4C01" w:rsidRPr="000F4E7D" w:rsidRDefault="00BE4C01"/>
          <w:p w14:paraId="00A62F98" w14:textId="77777777" w:rsidR="004513FB" w:rsidRPr="004513FB" w:rsidRDefault="004513FB" w:rsidP="004513FB">
            <w:r w:rsidRPr="004513FB">
              <w:t>(Intet nyt)</w:t>
            </w:r>
          </w:p>
          <w:p w14:paraId="1136A53C" w14:textId="77777777" w:rsidR="004513FB" w:rsidRPr="000F4E7D" w:rsidRDefault="004513FB"/>
        </w:tc>
      </w:tr>
      <w:tr w:rsidR="00BE4C01" w:rsidRPr="000F4E7D" w14:paraId="46B86ADE" w14:textId="77777777" w:rsidTr="0045749D">
        <w:tc>
          <w:tcPr>
            <w:tcW w:w="9628" w:type="dxa"/>
            <w:shd w:val="clear" w:color="auto" w:fill="D9D9D9" w:themeFill="background1" w:themeFillShade="D9"/>
          </w:tcPr>
          <w:p w14:paraId="22197C0B" w14:textId="3757CD86" w:rsidR="00BE4C01" w:rsidRPr="000F4E7D" w:rsidRDefault="00BE4C01" w:rsidP="00BE4C01">
            <w:pPr>
              <w:pStyle w:val="Listeafsnit"/>
              <w:numPr>
                <w:ilvl w:val="1"/>
                <w:numId w:val="1"/>
              </w:numPr>
              <w:rPr>
                <w:b/>
                <w:bCs/>
              </w:rPr>
            </w:pPr>
            <w:r w:rsidRPr="000F4E7D">
              <w:rPr>
                <w:b/>
                <w:bCs/>
              </w:rPr>
              <w:t>Bekendtgørelse</w:t>
            </w:r>
            <w:r w:rsidR="00136D9B" w:rsidRPr="000F4E7D">
              <w:rPr>
                <w:b/>
                <w:bCs/>
              </w:rPr>
              <w:t>r</w:t>
            </w:r>
            <w:r w:rsidRPr="000F4E7D">
              <w:rPr>
                <w:b/>
                <w:bCs/>
              </w:rPr>
              <w:t xml:space="preserve"> m.v.</w:t>
            </w:r>
          </w:p>
        </w:tc>
      </w:tr>
      <w:tr w:rsidR="00BE4C01" w:rsidRPr="000F4E7D" w14:paraId="159B5602" w14:textId="77777777" w:rsidTr="00BE4C01">
        <w:tc>
          <w:tcPr>
            <w:tcW w:w="9628" w:type="dxa"/>
          </w:tcPr>
          <w:p w14:paraId="15D4F7B8" w14:textId="77777777" w:rsidR="00BE4C01" w:rsidRPr="000F4E7D" w:rsidRDefault="00BE4C01"/>
          <w:p w14:paraId="02AB729D" w14:textId="77777777" w:rsidR="004513FB" w:rsidRPr="004513FB" w:rsidRDefault="004513FB" w:rsidP="004513FB">
            <w:r w:rsidRPr="004513FB">
              <w:t>(Intet nyt)</w:t>
            </w:r>
          </w:p>
          <w:p w14:paraId="2BE89B52" w14:textId="77777777" w:rsidR="004513FB" w:rsidRPr="000F4E7D" w:rsidRDefault="004513FB"/>
        </w:tc>
      </w:tr>
      <w:tr w:rsidR="00BE4C01" w:rsidRPr="000F4E7D" w14:paraId="2E8F680D" w14:textId="77777777" w:rsidTr="0045749D">
        <w:tc>
          <w:tcPr>
            <w:tcW w:w="9628" w:type="dxa"/>
            <w:shd w:val="clear" w:color="auto" w:fill="D9D9D9" w:themeFill="background1" w:themeFillShade="D9"/>
          </w:tcPr>
          <w:p w14:paraId="033F4D91" w14:textId="215F6731" w:rsidR="00BE4C01" w:rsidRPr="000F4E7D" w:rsidRDefault="00BE4C01" w:rsidP="00BE4C01">
            <w:pPr>
              <w:pStyle w:val="Listeafsnit"/>
              <w:numPr>
                <w:ilvl w:val="0"/>
                <w:numId w:val="1"/>
              </w:numPr>
              <w:rPr>
                <w:b/>
                <w:bCs/>
              </w:rPr>
            </w:pPr>
            <w:r w:rsidRPr="000F4E7D">
              <w:rPr>
                <w:b/>
                <w:bCs/>
              </w:rPr>
              <w:t>EU-REGULERING (forordninger)</w:t>
            </w:r>
          </w:p>
        </w:tc>
      </w:tr>
      <w:tr w:rsidR="00BE4C01" w:rsidRPr="000F4E7D" w14:paraId="6AF8D239" w14:textId="77777777" w:rsidTr="0045749D">
        <w:tc>
          <w:tcPr>
            <w:tcW w:w="9628" w:type="dxa"/>
            <w:shd w:val="clear" w:color="auto" w:fill="D9D9D9" w:themeFill="background1" w:themeFillShade="D9"/>
          </w:tcPr>
          <w:p w14:paraId="0C426A68" w14:textId="017C4220" w:rsidR="00BE4C01" w:rsidRPr="000F4E7D" w:rsidRDefault="00BE4C01" w:rsidP="00BE4C01">
            <w:pPr>
              <w:pStyle w:val="Listeafsnit"/>
              <w:numPr>
                <w:ilvl w:val="1"/>
                <w:numId w:val="1"/>
              </w:numPr>
              <w:rPr>
                <w:b/>
                <w:bCs/>
              </w:rPr>
            </w:pPr>
            <w:r w:rsidRPr="000F4E7D">
              <w:rPr>
                <w:b/>
                <w:bCs/>
              </w:rPr>
              <w:t>Niveau 1</w:t>
            </w:r>
          </w:p>
        </w:tc>
      </w:tr>
      <w:tr w:rsidR="00BE4C01" w:rsidRPr="000F4E7D" w14:paraId="1DF6C69F" w14:textId="77777777" w:rsidTr="00BE4C01">
        <w:tc>
          <w:tcPr>
            <w:tcW w:w="9628" w:type="dxa"/>
          </w:tcPr>
          <w:p w14:paraId="49C6BA60" w14:textId="77777777" w:rsidR="00BE4C01" w:rsidRDefault="00BE4C01"/>
          <w:p w14:paraId="503F33C7" w14:textId="6177BDEA" w:rsidR="00E171F1" w:rsidRPr="000F4E7D" w:rsidRDefault="00E171F1">
            <w:r>
              <w:t>(Intet nyt)</w:t>
            </w:r>
          </w:p>
          <w:p w14:paraId="010E559B" w14:textId="77777777" w:rsidR="00A678BE" w:rsidRPr="000F4E7D" w:rsidRDefault="00A678BE" w:rsidP="00E171F1"/>
        </w:tc>
      </w:tr>
      <w:tr w:rsidR="00BE4C01" w:rsidRPr="000F4E7D" w14:paraId="33726393" w14:textId="77777777" w:rsidTr="0045749D">
        <w:tc>
          <w:tcPr>
            <w:tcW w:w="9628" w:type="dxa"/>
            <w:shd w:val="clear" w:color="auto" w:fill="D9D9D9" w:themeFill="background1" w:themeFillShade="D9"/>
          </w:tcPr>
          <w:p w14:paraId="5443431C" w14:textId="42CA405D" w:rsidR="00BE4C01" w:rsidRPr="000F4E7D" w:rsidRDefault="00BE4C01" w:rsidP="00BE4C01">
            <w:pPr>
              <w:pStyle w:val="Listeafsnit"/>
              <w:numPr>
                <w:ilvl w:val="1"/>
                <w:numId w:val="1"/>
              </w:numPr>
              <w:rPr>
                <w:b/>
                <w:bCs/>
              </w:rPr>
            </w:pPr>
            <w:r w:rsidRPr="000F4E7D">
              <w:rPr>
                <w:b/>
                <w:bCs/>
              </w:rPr>
              <w:t>Niveau 2</w:t>
            </w:r>
          </w:p>
        </w:tc>
      </w:tr>
      <w:tr w:rsidR="00BE4C01" w:rsidRPr="000F4E7D" w14:paraId="041C1121" w14:textId="77777777" w:rsidTr="00BE4C01">
        <w:tc>
          <w:tcPr>
            <w:tcW w:w="9628" w:type="dxa"/>
          </w:tcPr>
          <w:p w14:paraId="59D9633A" w14:textId="77777777" w:rsidR="00BE4C01" w:rsidRPr="000F4E7D" w:rsidRDefault="00BE4C01"/>
          <w:p w14:paraId="270B4819" w14:textId="77777777" w:rsidR="003F321C" w:rsidRPr="003F321C" w:rsidRDefault="003F321C" w:rsidP="003F321C">
            <w:r w:rsidRPr="003F321C">
              <w:t>(Intet nyt)</w:t>
            </w:r>
          </w:p>
          <w:p w14:paraId="570C0B58" w14:textId="77777777" w:rsidR="003F321C" w:rsidRPr="000F4E7D" w:rsidRDefault="003F321C"/>
        </w:tc>
      </w:tr>
      <w:tr w:rsidR="00BE4C01" w:rsidRPr="000F4E7D" w14:paraId="15D16C97" w14:textId="77777777" w:rsidTr="0045749D">
        <w:tc>
          <w:tcPr>
            <w:tcW w:w="9628" w:type="dxa"/>
            <w:shd w:val="clear" w:color="auto" w:fill="D9D9D9" w:themeFill="background1" w:themeFillShade="D9"/>
          </w:tcPr>
          <w:p w14:paraId="2EAF4AB2" w14:textId="47D47A5D" w:rsidR="00BE4C01" w:rsidRPr="000F4E7D" w:rsidRDefault="00BE4C01" w:rsidP="00BE4C01">
            <w:pPr>
              <w:pStyle w:val="Listeafsnit"/>
              <w:numPr>
                <w:ilvl w:val="0"/>
                <w:numId w:val="1"/>
              </w:numPr>
              <w:rPr>
                <w:b/>
                <w:bCs/>
              </w:rPr>
            </w:pPr>
            <w:r w:rsidRPr="000F4E7D">
              <w:rPr>
                <w:b/>
                <w:bCs/>
              </w:rPr>
              <w:t>RETNINGSLINJER FRA ESA’ERNE</w:t>
            </w:r>
          </w:p>
        </w:tc>
      </w:tr>
      <w:tr w:rsidR="00BE4C01" w:rsidRPr="000F4E7D" w14:paraId="7EFB212B" w14:textId="77777777" w:rsidTr="0045749D">
        <w:tc>
          <w:tcPr>
            <w:tcW w:w="9628" w:type="dxa"/>
            <w:shd w:val="clear" w:color="auto" w:fill="D9D9D9" w:themeFill="background1" w:themeFillShade="D9"/>
          </w:tcPr>
          <w:p w14:paraId="08A36234" w14:textId="6C0B6A7D" w:rsidR="00BE4C01" w:rsidRPr="000F4E7D" w:rsidRDefault="00BE4C01" w:rsidP="00BE4C01">
            <w:pPr>
              <w:pStyle w:val="Listeafsnit"/>
              <w:numPr>
                <w:ilvl w:val="1"/>
                <w:numId w:val="1"/>
              </w:numPr>
              <w:rPr>
                <w:b/>
                <w:bCs/>
              </w:rPr>
            </w:pPr>
            <w:r w:rsidRPr="000F4E7D">
              <w:rPr>
                <w:b/>
                <w:bCs/>
              </w:rPr>
              <w:t>EBA</w:t>
            </w:r>
          </w:p>
        </w:tc>
      </w:tr>
      <w:tr w:rsidR="00BE4C01" w:rsidRPr="000F4E7D" w14:paraId="46B54A56" w14:textId="77777777" w:rsidTr="00BE4C01">
        <w:tc>
          <w:tcPr>
            <w:tcW w:w="9628" w:type="dxa"/>
          </w:tcPr>
          <w:p w14:paraId="5A7EB2FD" w14:textId="77777777" w:rsidR="00BE4C01" w:rsidRPr="000F4E7D" w:rsidRDefault="00BE4C01"/>
          <w:p w14:paraId="130D1A0A" w14:textId="6E059148" w:rsidR="005057F4" w:rsidRPr="000F4E7D" w:rsidRDefault="005057F4" w:rsidP="005057F4">
            <w:pPr>
              <w:rPr>
                <w:b/>
                <w:bCs/>
              </w:rPr>
            </w:pPr>
            <w:bookmarkStart w:id="0" w:name="B"/>
            <w:r w:rsidRPr="005057F4">
              <w:rPr>
                <w:b/>
                <w:bCs/>
              </w:rPr>
              <w:t>EBA offentliggør sine endelige retningslinjer for genindsendelse af historiske data i henhold til EBA's rammer for rapportering</w:t>
            </w:r>
          </w:p>
          <w:bookmarkEnd w:id="0"/>
          <w:p w14:paraId="2732813D" w14:textId="77777777" w:rsidR="003F321C" w:rsidRPr="005057F4" w:rsidRDefault="003F321C" w:rsidP="005057F4">
            <w:pPr>
              <w:rPr>
                <w:b/>
                <w:bCs/>
              </w:rPr>
            </w:pPr>
          </w:p>
          <w:p w14:paraId="767C3ECE" w14:textId="77777777" w:rsidR="00B0329E" w:rsidRDefault="005057F4" w:rsidP="005057F4">
            <w:r w:rsidRPr="005057F4">
              <w:t xml:space="preserve">Retningslinjerne </w:t>
            </w:r>
            <w:r w:rsidR="00A258E5">
              <w:t xml:space="preserve">omhandler, hvad </w:t>
            </w:r>
            <w:r w:rsidR="00DE2B29">
              <w:t xml:space="preserve">virksomhederne skal gøre i forhold til </w:t>
            </w:r>
            <w:r w:rsidR="004D1D23">
              <w:t xml:space="preserve">nye </w:t>
            </w:r>
            <w:r w:rsidR="00DE2B29">
              <w:t xml:space="preserve">indberetninger, når de har opdaget </w:t>
            </w:r>
            <w:r w:rsidRPr="005057F4">
              <w:t>fejl</w:t>
            </w:r>
            <w:r w:rsidR="004D1D23">
              <w:t>,</w:t>
            </w:r>
            <w:r w:rsidRPr="005057F4">
              <w:t xml:space="preserve"> unøjagtigheder eller andre ændringer i </w:t>
            </w:r>
            <w:r w:rsidR="004D1D23">
              <w:t xml:space="preserve">tidligere </w:t>
            </w:r>
            <w:r w:rsidRPr="005057F4">
              <w:t xml:space="preserve">indberettede data. </w:t>
            </w:r>
            <w:r w:rsidR="00BD6D95">
              <w:t xml:space="preserve">Derudover omhandler retningslinjerne, hvad </w:t>
            </w:r>
            <w:r w:rsidR="00270D82">
              <w:t xml:space="preserve">tilsynsmyndighederne kan gøre, når de har konstateret fejl m.v. i data. </w:t>
            </w:r>
          </w:p>
          <w:p w14:paraId="78ACA8DA" w14:textId="26145E8E" w:rsidR="005057F4" w:rsidRPr="005057F4" w:rsidRDefault="005057F4" w:rsidP="005057F4">
            <w:r w:rsidRPr="005057F4">
              <w:t>Retningslinjerne finder</w:t>
            </w:r>
            <w:r w:rsidR="006A7909">
              <w:t xml:space="preserve"> f</w:t>
            </w:r>
            <w:r w:rsidR="00C7519C">
              <w:t>ørst</w:t>
            </w:r>
            <w:r w:rsidRPr="005057F4">
              <w:t xml:space="preserve"> anvendelse tre måneder efter offentliggørelsen af retningslinjerne på EBA's websted på alle EU's officielle sprog.</w:t>
            </w:r>
          </w:p>
          <w:p w14:paraId="01A8A2F3" w14:textId="77777777" w:rsidR="003F321C" w:rsidRPr="000F4E7D" w:rsidRDefault="003F321C" w:rsidP="005057F4"/>
          <w:p w14:paraId="12D6AE61" w14:textId="5794C724" w:rsidR="005057F4" w:rsidRPr="005057F4" w:rsidRDefault="005057F4" w:rsidP="005057F4">
            <w:r w:rsidRPr="005057F4">
              <w:t xml:space="preserve">(Offentliggjort den 9. april 2024, </w:t>
            </w:r>
            <w:hyperlink r:id="rId9" w:history="1">
              <w:r w:rsidRPr="005057F4">
                <w:rPr>
                  <w:rStyle w:val="Hyperlink"/>
                </w:rPr>
                <w:t>link</w:t>
              </w:r>
            </w:hyperlink>
            <w:r w:rsidRPr="005057F4">
              <w:t>)</w:t>
            </w:r>
          </w:p>
          <w:p w14:paraId="50EC8A64" w14:textId="77777777" w:rsidR="005057F4" w:rsidRPr="005057F4" w:rsidRDefault="005057F4" w:rsidP="005057F4"/>
          <w:p w14:paraId="1D85FF4A" w14:textId="77777777" w:rsidR="005057F4" w:rsidRPr="005057F4" w:rsidRDefault="005057F4" w:rsidP="005057F4">
            <w:pPr>
              <w:rPr>
                <w:b/>
                <w:bCs/>
              </w:rPr>
            </w:pPr>
            <w:bookmarkStart w:id="1" w:name="C"/>
            <w:r w:rsidRPr="005057F4">
              <w:rPr>
                <w:b/>
                <w:bCs/>
              </w:rPr>
              <w:t>EBA offentliggør endelige retningslinjer for anvendelsen af koncernkapitaltesten for investeringsselskabskoncerner</w:t>
            </w:r>
          </w:p>
          <w:bookmarkEnd w:id="1"/>
          <w:p w14:paraId="6E2E7CDE" w14:textId="77777777" w:rsidR="003F321C" w:rsidRPr="000F4E7D" w:rsidRDefault="003F321C" w:rsidP="005057F4"/>
          <w:p w14:paraId="7BC444F5" w14:textId="2E680917" w:rsidR="007A2EA0" w:rsidRDefault="005057F4" w:rsidP="005057F4">
            <w:r w:rsidRPr="005057F4">
              <w:lastRenderedPageBreak/>
              <w:t xml:space="preserve">Retningslinjerne fastsætter harmoniserede kriterier i forhold til </w:t>
            </w:r>
            <w:r w:rsidR="00782D57">
              <w:t xml:space="preserve">IFR </w:t>
            </w:r>
            <w:r w:rsidRPr="005057F4">
              <w:t>artikel 8</w:t>
            </w:r>
            <w:r w:rsidR="001B18A5">
              <w:t>, stk. 1 og 4</w:t>
            </w:r>
            <w:r w:rsidRPr="005057F4">
              <w:t>.</w:t>
            </w:r>
            <w:r w:rsidR="001B18A5">
              <w:t xml:space="preserve"> Herunder fastsættes kriterier</w:t>
            </w:r>
            <w:r w:rsidR="00BE1ED5">
              <w:t xml:space="preserve"> for, hvornår koncernstrukturer kan anses for at være </w:t>
            </w:r>
            <w:r w:rsidR="00C97506">
              <w:t>tilstrækkeligt en</w:t>
            </w:r>
            <w:r w:rsidR="00483265">
              <w:t>kle</w:t>
            </w:r>
            <w:r w:rsidR="00F8203C">
              <w:t xml:space="preserve"> og </w:t>
            </w:r>
            <w:r w:rsidR="00E46B9B">
              <w:t>risici for kunderne eller markedet ikke</w:t>
            </w:r>
            <w:r w:rsidR="00AD3555">
              <w:t xml:space="preserve"> vurderes</w:t>
            </w:r>
            <w:r w:rsidR="00E46B9B">
              <w:t xml:space="preserve"> betydelige</w:t>
            </w:r>
            <w:r w:rsidR="00483265">
              <w:t xml:space="preserve">, </w:t>
            </w:r>
            <w:r w:rsidR="00E46B9B">
              <w:t xml:space="preserve">således </w:t>
            </w:r>
            <w:r w:rsidR="00483265">
              <w:t xml:space="preserve">at </w:t>
            </w:r>
            <w:r w:rsidR="00782D57">
              <w:t>koncernen i stedet for de almindelige regler om konsolidering i IFR artikel 7</w:t>
            </w:r>
            <w:r w:rsidRPr="005057F4">
              <w:t xml:space="preserve"> </w:t>
            </w:r>
            <w:r w:rsidR="00BA4D05">
              <w:t>kan anvende de lempeligere regler i artikel 8.</w:t>
            </w:r>
          </w:p>
          <w:p w14:paraId="389F6F02" w14:textId="1F5515C6" w:rsidR="005057F4" w:rsidRPr="000F4E7D" w:rsidRDefault="007A2EA0" w:rsidP="005057F4">
            <w:r>
              <w:t>Retningslinjerne</w:t>
            </w:r>
            <w:r w:rsidR="005057F4" w:rsidRPr="005057F4">
              <w:t xml:space="preserve"> finder anvendelse fra 1. januar 2025.</w:t>
            </w:r>
          </w:p>
          <w:p w14:paraId="4823F6A5" w14:textId="77777777" w:rsidR="000F4E7D" w:rsidRPr="005057F4" w:rsidRDefault="000F4E7D" w:rsidP="005057F4"/>
          <w:p w14:paraId="5772713F" w14:textId="77777777" w:rsidR="005057F4" w:rsidRPr="005057F4" w:rsidRDefault="005057F4" w:rsidP="005057F4">
            <w:r w:rsidRPr="005057F4">
              <w:t xml:space="preserve">(Offentliggjort den 11. april 2024, </w:t>
            </w:r>
            <w:hyperlink r:id="rId10" w:history="1">
              <w:r w:rsidRPr="005057F4">
                <w:rPr>
                  <w:rStyle w:val="Hyperlink"/>
                </w:rPr>
                <w:t>lin</w:t>
              </w:r>
              <w:r w:rsidRPr="005057F4">
                <w:rPr>
                  <w:rStyle w:val="Hyperlink"/>
                </w:rPr>
                <w:t>k</w:t>
              </w:r>
            </w:hyperlink>
            <w:r w:rsidRPr="005057F4">
              <w:t>)</w:t>
            </w:r>
          </w:p>
          <w:p w14:paraId="69E636A1" w14:textId="77777777" w:rsidR="005057F4" w:rsidRPr="000F4E7D" w:rsidRDefault="005057F4"/>
          <w:p w14:paraId="5E1E2D1B" w14:textId="77777777" w:rsidR="005057F4" w:rsidRPr="000F4E7D" w:rsidRDefault="005057F4"/>
        </w:tc>
      </w:tr>
      <w:tr w:rsidR="00BE4C01" w:rsidRPr="000F4E7D" w14:paraId="2CFF0838" w14:textId="77777777" w:rsidTr="0045749D">
        <w:tc>
          <w:tcPr>
            <w:tcW w:w="9628" w:type="dxa"/>
            <w:shd w:val="clear" w:color="auto" w:fill="D9D9D9" w:themeFill="background1" w:themeFillShade="D9"/>
          </w:tcPr>
          <w:p w14:paraId="01FEF4B9" w14:textId="752585A1" w:rsidR="00BE4C01" w:rsidRPr="000F4E7D" w:rsidRDefault="00BE4C01" w:rsidP="00BE4C01">
            <w:pPr>
              <w:pStyle w:val="Listeafsnit"/>
              <w:numPr>
                <w:ilvl w:val="1"/>
                <w:numId w:val="1"/>
              </w:numPr>
              <w:rPr>
                <w:b/>
                <w:bCs/>
              </w:rPr>
            </w:pPr>
            <w:r w:rsidRPr="000F4E7D">
              <w:rPr>
                <w:b/>
                <w:bCs/>
              </w:rPr>
              <w:lastRenderedPageBreak/>
              <w:t>ESMA</w:t>
            </w:r>
          </w:p>
        </w:tc>
      </w:tr>
      <w:tr w:rsidR="00BE4C01" w:rsidRPr="000F4E7D" w14:paraId="7F315866" w14:textId="77777777" w:rsidTr="00BE4C01">
        <w:tc>
          <w:tcPr>
            <w:tcW w:w="9628" w:type="dxa"/>
          </w:tcPr>
          <w:p w14:paraId="6F7F3875" w14:textId="77777777" w:rsidR="00BE4C01" w:rsidRPr="000F4E7D" w:rsidRDefault="00BE4C01"/>
          <w:p w14:paraId="0C25F59C" w14:textId="77777777" w:rsidR="00E03F30" w:rsidRPr="00E03F30" w:rsidRDefault="00E03F30" w:rsidP="00E03F30">
            <w:pPr>
              <w:rPr>
                <w:b/>
                <w:bCs/>
              </w:rPr>
            </w:pPr>
            <w:bookmarkStart w:id="2" w:name="D"/>
            <w:r w:rsidRPr="00E03F30">
              <w:rPr>
                <w:b/>
                <w:bCs/>
              </w:rPr>
              <w:t>ESMA offentliggør de årlige gennemsigtighedsberegninger for andre instrumenter end aktieinstrumenter samt data for likviditet for obligationer og kvartalsvise SI-beregninger</w:t>
            </w:r>
          </w:p>
          <w:bookmarkEnd w:id="2"/>
          <w:p w14:paraId="444CD08C" w14:textId="77777777" w:rsidR="000F4E7D" w:rsidRPr="000F4E7D" w:rsidRDefault="000F4E7D" w:rsidP="00E03F30"/>
          <w:p w14:paraId="274C2688" w14:textId="26B9E32C" w:rsidR="00E03F30" w:rsidRPr="00E03F30" w:rsidRDefault="00E03F30" w:rsidP="00E03F30">
            <w:r w:rsidRPr="00E03F30">
              <w:t xml:space="preserve">Resultaterne af de årlige gennemsigtighedsberegninger for andre instrumenter end aktieinstrumenter finder anvendelse fra 3. juni 2024. </w:t>
            </w:r>
          </w:p>
          <w:p w14:paraId="016A1CF9" w14:textId="77777777" w:rsidR="000F4E7D" w:rsidRPr="000F4E7D" w:rsidRDefault="000F4E7D" w:rsidP="00E03F30"/>
          <w:p w14:paraId="2F6F0679" w14:textId="51E9623A" w:rsidR="00E03F30" w:rsidRPr="00E03F30" w:rsidRDefault="00E03F30" w:rsidP="00E03F30">
            <w:r w:rsidRPr="00E03F30">
              <w:t xml:space="preserve">(Offentliggjort den 30. april 2024, </w:t>
            </w:r>
            <w:hyperlink r:id="rId11" w:history="1">
              <w:r w:rsidRPr="00E03F30">
                <w:rPr>
                  <w:rStyle w:val="Hyperlink"/>
                </w:rPr>
                <w:t>link</w:t>
              </w:r>
            </w:hyperlink>
            <w:r w:rsidRPr="00E03F30">
              <w:t>)</w:t>
            </w:r>
          </w:p>
          <w:p w14:paraId="3AB62801" w14:textId="77777777" w:rsidR="00E03F30" w:rsidRPr="000F4E7D" w:rsidRDefault="00E03F30"/>
          <w:p w14:paraId="29E632A3" w14:textId="77777777" w:rsidR="00E03F30" w:rsidRPr="000F4E7D" w:rsidRDefault="00E03F30"/>
        </w:tc>
      </w:tr>
    </w:tbl>
    <w:p w14:paraId="329D25E6" w14:textId="77777777" w:rsidR="00BE4C01" w:rsidRPr="000F4E7D" w:rsidRDefault="00BE4C01"/>
    <w:p w14:paraId="6BBF4DE2" w14:textId="77777777" w:rsidR="00BE4C01" w:rsidRPr="000F4E7D" w:rsidRDefault="00BE4C01" w:rsidP="00BE4C01"/>
    <w:p w14:paraId="251BD954" w14:textId="77777777" w:rsidR="00BE4C01" w:rsidRPr="000F4E7D" w:rsidRDefault="00BE4C01" w:rsidP="00BE4C01">
      <w:pPr>
        <w:rPr>
          <w:i/>
          <w:iCs/>
        </w:rPr>
      </w:pPr>
      <w:r w:rsidRPr="000F4E7D">
        <w:rPr>
          <w:i/>
          <w:iCs/>
        </w:rPr>
        <w:t xml:space="preserve">Denne oversigt over ny finansiel regulering er udvalgt af Capital Law CPH ud fra regulering, der retter sig direkte til fondsmæglerselskaber og deres holdingvirksomheder. Oversigten er en informationstjeneste og udgør ikke juridisk rådgivning, og Capital Law CPH påtager sig ikke ansvar for fejl eller mangler. </w:t>
      </w:r>
      <w:r w:rsidRPr="000F4E7D">
        <w:rPr>
          <w:noProof/>
        </w:rPr>
        <w:drawing>
          <wp:anchor distT="0" distB="0" distL="114300" distR="114300" simplePos="0" relativeHeight="251659264" behindDoc="0" locked="0" layoutInCell="1" allowOverlap="1" wp14:anchorId="7F4E4D6D" wp14:editId="79FD38D8">
            <wp:simplePos x="0" y="0"/>
            <wp:positionH relativeFrom="column">
              <wp:posOffset>-4098</wp:posOffset>
            </wp:positionH>
            <wp:positionV relativeFrom="paragraph">
              <wp:posOffset>168</wp:posOffset>
            </wp:positionV>
            <wp:extent cx="1401445" cy="1504950"/>
            <wp:effectExtent l="0" t="0" r="8255" b="0"/>
            <wp:wrapSquare wrapText="bothSides"/>
            <wp:docPr id="1686948146" name="Billede 1686948146" descr="Et billede, der indeholder person, mur, menneske, indendør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person, mur, menneske, indendørs&#10;&#10;Automatisk genereret beskrivelse"/>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23285"/>
                    <a:stretch/>
                  </pic:blipFill>
                  <pic:spPr bwMode="auto">
                    <a:xfrm>
                      <a:off x="0" y="0"/>
                      <a:ext cx="1401445" cy="1504950"/>
                    </a:xfrm>
                    <a:prstGeom prst="rect">
                      <a:avLst/>
                    </a:prstGeom>
                    <a:noFill/>
                    <a:ln>
                      <a:noFill/>
                    </a:ln>
                    <a:extLst>
                      <a:ext uri="{53640926-AAD7-44D8-BBD7-CCE9431645EC}">
                        <a14:shadowObscured xmlns:a14="http://schemas.microsoft.com/office/drawing/2010/main"/>
                      </a:ext>
                    </a:extLst>
                  </pic:spPr>
                </pic:pic>
              </a:graphicData>
            </a:graphic>
          </wp:anchor>
        </w:drawing>
      </w:r>
    </w:p>
    <w:p w14:paraId="386D39AB" w14:textId="77777777" w:rsidR="00BE4C01" w:rsidRPr="000F4E7D" w:rsidRDefault="00BE4C01" w:rsidP="00BE4C01">
      <w:pPr>
        <w:rPr>
          <w:i/>
          <w:iCs/>
        </w:rPr>
      </w:pPr>
      <w:r w:rsidRPr="000F4E7D">
        <w:rPr>
          <w:i/>
          <w:iCs/>
        </w:rPr>
        <w:t xml:space="preserve">Oversigten er redigeret af advokat og partner Camilla Søborg, </w:t>
      </w:r>
      <w:hyperlink r:id="rId13" w:history="1">
        <w:r w:rsidRPr="000F4E7D">
          <w:rPr>
            <w:rStyle w:val="Hyperlink"/>
            <w:i/>
            <w:iCs/>
          </w:rPr>
          <w:t>cas@capitallawcph.dk</w:t>
        </w:r>
      </w:hyperlink>
      <w:r w:rsidRPr="000F4E7D">
        <w:rPr>
          <w:i/>
          <w:iCs/>
        </w:rPr>
        <w:t xml:space="preserve">, tlf. 53500914, som du kan rette henvendelse til, hvis du har kommentarer eller spørgsmål. </w:t>
      </w:r>
    </w:p>
    <w:p w14:paraId="514A19E8" w14:textId="77777777" w:rsidR="00BE4C01" w:rsidRPr="000F4E7D" w:rsidRDefault="00BE4C01" w:rsidP="00BE4C01">
      <w:pPr>
        <w:rPr>
          <w:i/>
          <w:iCs/>
        </w:rPr>
      </w:pPr>
    </w:p>
    <w:p w14:paraId="22D0A962" w14:textId="77777777" w:rsidR="00BE4C01" w:rsidRPr="000F4E7D" w:rsidRDefault="00BE4C01" w:rsidP="00BE4C01">
      <w:r w:rsidRPr="000F4E7D">
        <w:rPr>
          <w:noProof/>
        </w:rPr>
        <w:drawing>
          <wp:inline distT="0" distB="0" distL="0" distR="0" wp14:anchorId="027AA631" wp14:editId="364652AF">
            <wp:extent cx="1600200" cy="304800"/>
            <wp:effectExtent l="0" t="0" r="0" b="0"/>
            <wp:docPr id="1" name="Billede 1" descr="Et billede, der indeholder tekst, skilt&#10;&#10;Automatisk genereret beskrivelse"/>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 skilt&#10;&#10;Automatisk genereret beskrivelse"/>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00200" cy="304800"/>
                    </a:xfrm>
                    <a:prstGeom prst="rect">
                      <a:avLst/>
                    </a:prstGeom>
                    <a:noFill/>
                    <a:ln>
                      <a:noFill/>
                    </a:ln>
                  </pic:spPr>
                </pic:pic>
              </a:graphicData>
            </a:graphic>
          </wp:inline>
        </w:drawing>
      </w:r>
    </w:p>
    <w:p w14:paraId="39FECEBF" w14:textId="77777777" w:rsidR="00BE4C01" w:rsidRPr="000F4E7D" w:rsidRDefault="00BE4C01" w:rsidP="00BE4C01">
      <w:r w:rsidRPr="000F4E7D">
        <w:t>Capital Law CPH Advokater I/S,</w:t>
      </w:r>
      <w:r w:rsidRPr="000F4E7D">
        <w:rPr>
          <w:b/>
          <w:bCs/>
        </w:rPr>
        <w:t xml:space="preserve"> </w:t>
      </w:r>
      <w:r w:rsidRPr="000F4E7D">
        <w:t>CVR-nr. 42075000, Hellerupvej 5, DK-2900 Hellerup</w:t>
      </w:r>
    </w:p>
    <w:p w14:paraId="6AACDA41" w14:textId="77777777" w:rsidR="00BE4C01" w:rsidRPr="000F4E7D" w:rsidRDefault="00BE4C01"/>
    <w:sectPr w:rsidR="00BE4C01" w:rsidRPr="000F4E7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F9335C"/>
    <w:multiLevelType w:val="multilevel"/>
    <w:tmpl w:val="DCAC51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4636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C01"/>
    <w:rsid w:val="00073384"/>
    <w:rsid w:val="000F4E7D"/>
    <w:rsid w:val="001163B2"/>
    <w:rsid w:val="00136D9B"/>
    <w:rsid w:val="001B18A5"/>
    <w:rsid w:val="001D2801"/>
    <w:rsid w:val="00265438"/>
    <w:rsid w:val="00270D82"/>
    <w:rsid w:val="002B6B87"/>
    <w:rsid w:val="002C6109"/>
    <w:rsid w:val="00344CB3"/>
    <w:rsid w:val="00373447"/>
    <w:rsid w:val="003B7D51"/>
    <w:rsid w:val="003F321C"/>
    <w:rsid w:val="00427ED3"/>
    <w:rsid w:val="004513FB"/>
    <w:rsid w:val="0045749D"/>
    <w:rsid w:val="00483265"/>
    <w:rsid w:val="004D1D23"/>
    <w:rsid w:val="004D740B"/>
    <w:rsid w:val="005057F4"/>
    <w:rsid w:val="00533C93"/>
    <w:rsid w:val="005945AC"/>
    <w:rsid w:val="005C2158"/>
    <w:rsid w:val="0066792C"/>
    <w:rsid w:val="006A7909"/>
    <w:rsid w:val="006C0074"/>
    <w:rsid w:val="0070768B"/>
    <w:rsid w:val="00782D57"/>
    <w:rsid w:val="007A2EA0"/>
    <w:rsid w:val="008111D7"/>
    <w:rsid w:val="00846558"/>
    <w:rsid w:val="008E04CC"/>
    <w:rsid w:val="009054F1"/>
    <w:rsid w:val="009911B9"/>
    <w:rsid w:val="009D3BD5"/>
    <w:rsid w:val="00A258E5"/>
    <w:rsid w:val="00A56237"/>
    <w:rsid w:val="00A678BE"/>
    <w:rsid w:val="00A97075"/>
    <w:rsid w:val="00AC5B80"/>
    <w:rsid w:val="00AD3555"/>
    <w:rsid w:val="00B0329E"/>
    <w:rsid w:val="00B14E26"/>
    <w:rsid w:val="00B6436B"/>
    <w:rsid w:val="00BA4D05"/>
    <w:rsid w:val="00BC1F31"/>
    <w:rsid w:val="00BD6D95"/>
    <w:rsid w:val="00BE1ED5"/>
    <w:rsid w:val="00BE4C01"/>
    <w:rsid w:val="00C15B8F"/>
    <w:rsid w:val="00C21A39"/>
    <w:rsid w:val="00C7519C"/>
    <w:rsid w:val="00C97506"/>
    <w:rsid w:val="00DD48DD"/>
    <w:rsid w:val="00DE2B29"/>
    <w:rsid w:val="00DE5609"/>
    <w:rsid w:val="00E03F30"/>
    <w:rsid w:val="00E171F1"/>
    <w:rsid w:val="00E46B9B"/>
    <w:rsid w:val="00F10BC1"/>
    <w:rsid w:val="00F8203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88BD4"/>
  <w15:chartTrackingRefBased/>
  <w15:docId w15:val="{5B722B26-DC46-4DCD-8CA4-7CD3527A3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C01"/>
    <w:rPr>
      <w:kern w:val="0"/>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BE4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BE4C01"/>
    <w:pPr>
      <w:ind w:left="720"/>
      <w:contextualSpacing/>
    </w:pPr>
  </w:style>
  <w:style w:type="character" w:styleId="Hyperlink">
    <w:name w:val="Hyperlink"/>
    <w:basedOn w:val="Standardskrifttypeiafsnit"/>
    <w:uiPriority w:val="99"/>
    <w:unhideWhenUsed/>
    <w:rsid w:val="00BE4C01"/>
    <w:rPr>
      <w:color w:val="0563C1" w:themeColor="hyperlink"/>
      <w:u w:val="single"/>
    </w:rPr>
  </w:style>
  <w:style w:type="character" w:styleId="Ulstomtale">
    <w:name w:val="Unresolved Mention"/>
    <w:basedOn w:val="Standardskrifttypeiafsnit"/>
    <w:uiPriority w:val="99"/>
    <w:semiHidden/>
    <w:unhideWhenUsed/>
    <w:rsid w:val="00BE4C01"/>
    <w:rPr>
      <w:color w:val="605E5C"/>
      <w:shd w:val="clear" w:color="auto" w:fill="E1DFDD"/>
    </w:rPr>
  </w:style>
  <w:style w:type="character" w:styleId="BesgtLink">
    <w:name w:val="FollowedHyperlink"/>
    <w:basedOn w:val="Standardskrifttypeiafsnit"/>
    <w:uiPriority w:val="99"/>
    <w:semiHidden/>
    <w:unhideWhenUsed/>
    <w:rsid w:val="00B643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s@capitallawcph.d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ma.europa.eu/press-news/esma-news/esma-publishes-annual-transparency-calculations-non-equity-instruments-bond-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www.eba.europa.eu/publications-and-media/press-releases/eba-publishes-final-guidelines-application-group-capital-test-investment-firm-groups" TargetMode="External"/><Relationship Id="rId4" Type="http://schemas.openxmlformats.org/officeDocument/2006/relationships/customXml" Target="../customXml/item4.xml"/><Relationship Id="rId9" Type="http://schemas.openxmlformats.org/officeDocument/2006/relationships/hyperlink" Target="https://www.eba.europa.eu/publications-and-media/press-releases/eba-publishes-its-final-guidelines-resubmission-historical-data-under-eba-reporting-framework" TargetMode="External"/><Relationship Id="rId14"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E167DF4E06F5744B57C6F8BE5F564CB" ma:contentTypeVersion="20" ma:contentTypeDescription="Opret et nyt dokument." ma:contentTypeScope="" ma:versionID="4c9fdd3f57380a66db669e25b35dd481">
  <xsd:schema xmlns:xsd="http://www.w3.org/2001/XMLSchema" xmlns:xs="http://www.w3.org/2001/XMLSchema" xmlns:p="http://schemas.microsoft.com/office/2006/metadata/properties" xmlns:ns2="e1ad0fee-deb7-4d11-8342-64349c8749bc" xmlns:ns3="547d2aa7-4697-4679-89a8-f7ed825373f6" targetNamespace="http://schemas.microsoft.com/office/2006/metadata/properties" ma:root="true" ma:fieldsID="0701e95dae96647187809806b243026f" ns2:_="" ns3:_="">
    <xsd:import namespace="e1ad0fee-deb7-4d11-8342-64349c8749bc"/>
    <xsd:import namespace="547d2aa7-4697-4679-89a8-f7ed825373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TaxCatchAll"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ad0fee-deb7-4d11-8342-64349c8749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d399327e-dec2-4cfd-b9e4-ed826a3a2eb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7d2aa7-4697-4679-89a8-f7ed825373f6"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element name="TaxCatchAll" ma:index="20" nillable="true" ma:displayName="Taxonomy Catch All Column" ma:hidden="true" ma:list="{8547f4b9-575f-4bb9-9f4d-53a5a71db9dd}" ma:internalName="TaxCatchAll" ma:showField="CatchAllData" ma:web="547d2aa7-4697-4679-89a8-f7ed825373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47d2aa7-4697-4679-89a8-f7ed825373f6" xsi:nil="true"/>
    <lcf76f155ced4ddcb4097134ff3c332f xmlns="e1ad0fee-deb7-4d11-8342-64349c8749b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DFC98C-0845-4A94-8D81-1ABEEB673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ad0fee-deb7-4d11-8342-64349c8749bc"/>
    <ds:schemaRef ds:uri="547d2aa7-4697-4679-89a8-f7ed825373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AAF082-B58A-4F52-A56E-EC4AEF91AEFB}">
  <ds:schemaRefs>
    <ds:schemaRef ds:uri="http://schemas.microsoft.com/office/2006/metadata/properties"/>
    <ds:schemaRef ds:uri="http://schemas.microsoft.com/office/infopath/2007/PartnerControls"/>
    <ds:schemaRef ds:uri="547d2aa7-4697-4679-89a8-f7ed825373f6"/>
    <ds:schemaRef ds:uri="e1ad0fee-deb7-4d11-8342-64349c8749bc"/>
  </ds:schemaRefs>
</ds:datastoreItem>
</file>

<file path=customXml/itemProps3.xml><?xml version="1.0" encoding="utf-8"?>
<ds:datastoreItem xmlns:ds="http://schemas.openxmlformats.org/officeDocument/2006/customXml" ds:itemID="{B9EC43D6-F876-4EE6-ACC9-89770DAC460D}">
  <ds:schemaRefs>
    <ds:schemaRef ds:uri="http://schemas.openxmlformats.org/officeDocument/2006/bibliography"/>
  </ds:schemaRefs>
</ds:datastoreItem>
</file>

<file path=customXml/itemProps4.xml><?xml version="1.0" encoding="utf-8"?>
<ds:datastoreItem xmlns:ds="http://schemas.openxmlformats.org/officeDocument/2006/customXml" ds:itemID="{DF44AD3D-F638-4681-B165-D4FC1736A7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461</Words>
  <Characters>2817</Characters>
  <Application>Microsoft Office Word</Application>
  <DocSecurity>0</DocSecurity>
  <Lines>23</Lines>
  <Paragraphs>6</Paragraphs>
  <ScaleCrop>false</ScaleCrop>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Søborg</dc:creator>
  <cp:keywords/>
  <dc:description/>
  <cp:lastModifiedBy>Camilla Søborg</cp:lastModifiedBy>
  <cp:revision>42</cp:revision>
  <dcterms:created xsi:type="dcterms:W3CDTF">2024-05-03T12:13:00Z</dcterms:created>
  <dcterms:modified xsi:type="dcterms:W3CDTF">2024-05-06T04:08:00Z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0x0101003E167DF4E06F5744B57C6F8BE5F564CB</vt:lpwstr>
  </property>
  <property fmtid="{D5CDD505-2E9C-101B-9397-08002B2CF9AE}" pid="3" name="MediaServiceImageTags">
    <vt:lpwstr/>
  </property>
</Properties>
</file>