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30835" w14:textId="77777777" w:rsidR="00BE4C01" w:rsidRPr="008A1C76" w:rsidRDefault="00BE4C01" w:rsidP="00BE4C01">
      <w:pPr>
        <w:jc w:val="both"/>
        <w:rPr>
          <w:sz w:val="28"/>
          <w:szCs w:val="28"/>
        </w:rPr>
      </w:pPr>
      <w:r>
        <w:rPr>
          <w:sz w:val="28"/>
          <w:szCs w:val="28"/>
        </w:rPr>
        <w:t>N</w:t>
      </w:r>
      <w:r w:rsidRPr="008A1C76">
        <w:rPr>
          <w:sz w:val="28"/>
          <w:szCs w:val="28"/>
        </w:rPr>
        <w:t>y finansiel regulering</w:t>
      </w:r>
      <w:r>
        <w:rPr>
          <w:sz w:val="28"/>
          <w:szCs w:val="28"/>
        </w:rPr>
        <w:t xml:space="preserve"> for fondsmæglerselskaber</w:t>
      </w:r>
      <w:r w:rsidRPr="008A1C76">
        <w:rPr>
          <w:sz w:val="28"/>
          <w:szCs w:val="28"/>
        </w:rPr>
        <w:t xml:space="preserve"> </w:t>
      </w:r>
    </w:p>
    <w:p w14:paraId="300EB7E4" w14:textId="08456986" w:rsidR="00BE4C01" w:rsidRDefault="00BE4C01" w:rsidP="00BE4C01">
      <w:pPr>
        <w:jc w:val="both"/>
      </w:pPr>
      <w:r>
        <w:t>O</w:t>
      </w:r>
      <w:r w:rsidRPr="005A5267">
        <w:t xml:space="preserve">pdatering for </w:t>
      </w:r>
      <w:r w:rsidR="00F65EA7">
        <w:t>maj</w:t>
      </w:r>
      <w:r w:rsidRPr="005A5267">
        <w:t xml:space="preserve"> </w:t>
      </w:r>
      <w:r>
        <w:t xml:space="preserve">måned </w:t>
      </w:r>
      <w:r w:rsidRPr="005A5267">
        <w:t>202</w:t>
      </w:r>
      <w:r w:rsidR="005C2158">
        <w:t>4</w:t>
      </w:r>
    </w:p>
    <w:p w14:paraId="4FC69AF0" w14:textId="77777777" w:rsidR="00DD48DD" w:rsidRDefault="00DD48DD"/>
    <w:tbl>
      <w:tblPr>
        <w:tblStyle w:val="Tabel-Gitter"/>
        <w:tblW w:w="0" w:type="auto"/>
        <w:tblLook w:val="04A0" w:firstRow="1" w:lastRow="0" w:firstColumn="1" w:lastColumn="0" w:noHBand="0" w:noVBand="1"/>
      </w:tblPr>
      <w:tblGrid>
        <w:gridCol w:w="9628"/>
      </w:tblGrid>
      <w:tr w:rsidR="00BE4C01" w14:paraId="00166C89" w14:textId="77777777" w:rsidTr="0045749D">
        <w:tc>
          <w:tcPr>
            <w:tcW w:w="9628" w:type="dxa"/>
            <w:shd w:val="clear" w:color="auto" w:fill="D9D9D9" w:themeFill="background1" w:themeFillShade="D9"/>
          </w:tcPr>
          <w:p w14:paraId="6AB36AD5" w14:textId="79E26B0B" w:rsidR="00BE4C01" w:rsidRPr="005945AC" w:rsidRDefault="005945AC">
            <w:pPr>
              <w:rPr>
                <w:b/>
                <w:bCs/>
              </w:rPr>
            </w:pPr>
            <w:r w:rsidRPr="005945AC">
              <w:rPr>
                <w:b/>
                <w:bCs/>
              </w:rPr>
              <w:t>OVERBLIK</w:t>
            </w:r>
          </w:p>
        </w:tc>
      </w:tr>
      <w:tr w:rsidR="00BE4C01" w14:paraId="19A8CD66" w14:textId="77777777" w:rsidTr="00BE4C01">
        <w:tc>
          <w:tcPr>
            <w:tcW w:w="9628" w:type="dxa"/>
          </w:tcPr>
          <w:p w14:paraId="703C77BC" w14:textId="77777777" w:rsidR="00BE4C01" w:rsidRDefault="00BE4C01"/>
          <w:p w14:paraId="1DD27AA3" w14:textId="79F98C21" w:rsidR="009F3AA2" w:rsidRDefault="009F3AA2">
            <w:r>
              <w:t xml:space="preserve">Nye regler om bæredygtighedsrapportering i regnskaber: </w:t>
            </w:r>
            <w:hyperlink w:anchor="A" w:history="1">
              <w:r w:rsidR="004812AE" w:rsidRPr="004812AE">
                <w:rPr>
                  <w:rStyle w:val="Hyperlink"/>
                </w:rPr>
                <w:t>lin</w:t>
              </w:r>
              <w:r w:rsidR="004812AE" w:rsidRPr="004812AE">
                <w:rPr>
                  <w:rStyle w:val="Hyperlink"/>
                </w:rPr>
                <w:t>k</w:t>
              </w:r>
            </w:hyperlink>
          </w:p>
          <w:p w14:paraId="2A7AD746" w14:textId="77777777" w:rsidR="009F3AA2" w:rsidRDefault="009F3AA2"/>
          <w:p w14:paraId="5C4522C6" w14:textId="76C2C3EA" w:rsidR="009F3AA2" w:rsidRDefault="009F3AA2">
            <w:pPr>
              <w:rPr>
                <w:rStyle w:val="Hyperlink"/>
              </w:rPr>
            </w:pPr>
            <w:r>
              <w:t xml:space="preserve">Lovændringer som følge af </w:t>
            </w:r>
            <w:proofErr w:type="spellStart"/>
            <w:r>
              <w:t>MiCA</w:t>
            </w:r>
            <w:proofErr w:type="spellEnd"/>
            <w:r>
              <w:t xml:space="preserve"> og DORA: </w:t>
            </w:r>
            <w:hyperlink w:anchor="B" w:history="1">
              <w:r w:rsidR="004812AE" w:rsidRPr="004812AE">
                <w:rPr>
                  <w:rStyle w:val="Hyperlink"/>
                </w:rPr>
                <w:t>li</w:t>
              </w:r>
              <w:r w:rsidR="004812AE" w:rsidRPr="004812AE">
                <w:rPr>
                  <w:rStyle w:val="Hyperlink"/>
                </w:rPr>
                <w:t>n</w:t>
              </w:r>
              <w:r w:rsidR="004812AE" w:rsidRPr="004812AE">
                <w:rPr>
                  <w:rStyle w:val="Hyperlink"/>
                </w:rPr>
                <w:t>k</w:t>
              </w:r>
            </w:hyperlink>
          </w:p>
          <w:p w14:paraId="1FD0709F" w14:textId="5329D4E6" w:rsidR="00EC2B82" w:rsidRDefault="00EC2B82"/>
          <w:p w14:paraId="27221EB8" w14:textId="69A54DFB" w:rsidR="009F3AA2" w:rsidRDefault="00EC2B82">
            <w:pPr>
              <w:rPr>
                <w:rStyle w:val="Hyperlink"/>
              </w:rPr>
            </w:pPr>
            <w:r>
              <w:t xml:space="preserve">Opdateret bekendtgørelse om pligt til at offentliggøre Finanstilsynets vurderinger: </w:t>
            </w:r>
            <w:hyperlink w:anchor="c" w:history="1">
              <w:r w:rsidR="004812AE" w:rsidRPr="004812AE">
                <w:rPr>
                  <w:rStyle w:val="Hyperlink"/>
                </w:rPr>
                <w:t>lin</w:t>
              </w:r>
              <w:r w:rsidR="004812AE" w:rsidRPr="004812AE">
                <w:rPr>
                  <w:rStyle w:val="Hyperlink"/>
                </w:rPr>
                <w:t>k</w:t>
              </w:r>
            </w:hyperlink>
          </w:p>
          <w:p w14:paraId="5E5C6AD3" w14:textId="77777777" w:rsidR="004812AE" w:rsidRDefault="004812AE">
            <w:pPr>
              <w:rPr>
                <w:rStyle w:val="Hyperlink"/>
              </w:rPr>
            </w:pPr>
          </w:p>
          <w:p w14:paraId="030DDF05" w14:textId="47DD61A0" w:rsidR="00EC2B82" w:rsidRDefault="004812AE" w:rsidP="004812AE">
            <w:r>
              <w:t xml:space="preserve">Ophævelse af bekendtgørelse om digital kommunikation: </w:t>
            </w:r>
            <w:hyperlink w:anchor="d" w:history="1">
              <w:r w:rsidRPr="004812AE">
                <w:rPr>
                  <w:rStyle w:val="Hyperlink"/>
                </w:rPr>
                <w:t>li</w:t>
              </w:r>
              <w:r w:rsidRPr="004812AE">
                <w:rPr>
                  <w:rStyle w:val="Hyperlink"/>
                </w:rPr>
                <w:t>n</w:t>
              </w:r>
              <w:r w:rsidRPr="004812AE">
                <w:rPr>
                  <w:rStyle w:val="Hyperlink"/>
                </w:rPr>
                <w:t>k</w:t>
              </w:r>
            </w:hyperlink>
          </w:p>
          <w:p w14:paraId="775A078C" w14:textId="77777777" w:rsidR="004812AE" w:rsidRDefault="004812AE" w:rsidP="004812AE"/>
          <w:p w14:paraId="4709099E" w14:textId="544E1D90" w:rsidR="004812AE" w:rsidRDefault="004812AE" w:rsidP="004812AE">
            <w:r>
              <w:t xml:space="preserve">Anbefalinger fra Finanstilsynet ved anvendelse af AI: </w:t>
            </w:r>
            <w:hyperlink w:anchor="d2" w:history="1">
              <w:r w:rsidRPr="004812AE">
                <w:rPr>
                  <w:rStyle w:val="Hyperlink"/>
                </w:rPr>
                <w:t>link</w:t>
              </w:r>
            </w:hyperlink>
          </w:p>
          <w:p w14:paraId="5D275673" w14:textId="77777777" w:rsidR="004812AE" w:rsidRDefault="004812AE" w:rsidP="004812AE"/>
          <w:p w14:paraId="660596D5" w14:textId="1463FF1D" w:rsidR="004812AE" w:rsidRDefault="004812AE" w:rsidP="004812AE">
            <w:r>
              <w:t xml:space="preserve">ESMA udtalelser sig om anvendelse af AI ved investeringsservice: </w:t>
            </w:r>
            <w:hyperlink w:anchor="e" w:history="1">
              <w:r w:rsidRPr="004812AE">
                <w:rPr>
                  <w:rStyle w:val="Hyperlink"/>
                </w:rPr>
                <w:t>l</w:t>
              </w:r>
              <w:r w:rsidRPr="004812AE">
                <w:rPr>
                  <w:rStyle w:val="Hyperlink"/>
                </w:rPr>
                <w:t>i</w:t>
              </w:r>
              <w:r w:rsidRPr="004812AE">
                <w:rPr>
                  <w:rStyle w:val="Hyperlink"/>
                </w:rPr>
                <w:t>nk</w:t>
              </w:r>
            </w:hyperlink>
          </w:p>
          <w:p w14:paraId="774E809C" w14:textId="77777777" w:rsidR="004812AE" w:rsidRDefault="004812AE" w:rsidP="004812AE"/>
        </w:tc>
      </w:tr>
      <w:tr w:rsidR="00BE4C01" w14:paraId="531CF982" w14:textId="77777777" w:rsidTr="0045749D">
        <w:tc>
          <w:tcPr>
            <w:tcW w:w="9628" w:type="dxa"/>
            <w:shd w:val="clear" w:color="auto" w:fill="D9D9D9" w:themeFill="background1" w:themeFillShade="D9"/>
          </w:tcPr>
          <w:p w14:paraId="7BDC7261" w14:textId="6D8F2E20" w:rsidR="00BE4C01" w:rsidRPr="005945AC" w:rsidRDefault="00BE4C01" w:rsidP="00BE4C01">
            <w:pPr>
              <w:pStyle w:val="Listeafsnit"/>
              <w:numPr>
                <w:ilvl w:val="0"/>
                <w:numId w:val="1"/>
              </w:numPr>
              <w:rPr>
                <w:b/>
                <w:bCs/>
              </w:rPr>
            </w:pPr>
            <w:r w:rsidRPr="005945AC">
              <w:rPr>
                <w:b/>
                <w:bCs/>
              </w:rPr>
              <w:t>DANSK REGULERING</w:t>
            </w:r>
          </w:p>
        </w:tc>
      </w:tr>
      <w:tr w:rsidR="00BE4C01" w14:paraId="31E09EBE" w14:textId="77777777" w:rsidTr="0045749D">
        <w:tc>
          <w:tcPr>
            <w:tcW w:w="9628" w:type="dxa"/>
            <w:shd w:val="clear" w:color="auto" w:fill="D9D9D9" w:themeFill="background1" w:themeFillShade="D9"/>
          </w:tcPr>
          <w:p w14:paraId="199CDD40" w14:textId="62239D98" w:rsidR="00BE4C01" w:rsidRPr="005945AC" w:rsidRDefault="00BE4C01" w:rsidP="00BE4C01">
            <w:pPr>
              <w:pStyle w:val="Listeafsnit"/>
              <w:numPr>
                <w:ilvl w:val="1"/>
                <w:numId w:val="1"/>
              </w:numPr>
              <w:rPr>
                <w:b/>
                <w:bCs/>
              </w:rPr>
            </w:pPr>
            <w:r w:rsidRPr="005945AC">
              <w:rPr>
                <w:b/>
                <w:bCs/>
              </w:rPr>
              <w:t xml:space="preserve"> Love</w:t>
            </w:r>
          </w:p>
        </w:tc>
      </w:tr>
      <w:tr w:rsidR="00BE4C01" w14:paraId="786DA9D6" w14:textId="77777777" w:rsidTr="00BE4C01">
        <w:tc>
          <w:tcPr>
            <w:tcW w:w="9628" w:type="dxa"/>
          </w:tcPr>
          <w:p w14:paraId="39458584" w14:textId="77777777" w:rsidR="00BE4C01" w:rsidRDefault="00BE4C01"/>
          <w:p w14:paraId="68DEA8D2" w14:textId="79583EAD" w:rsidR="00F65EA7" w:rsidRPr="00F65EA7" w:rsidRDefault="005302C6" w:rsidP="00F65EA7">
            <w:pPr>
              <w:rPr>
                <w:b/>
                <w:bCs/>
              </w:rPr>
            </w:pPr>
            <w:bookmarkStart w:id="0" w:name="A"/>
            <w:r>
              <w:rPr>
                <w:b/>
                <w:bCs/>
              </w:rPr>
              <w:t>Lov</w:t>
            </w:r>
            <w:r w:rsidRPr="005302C6">
              <w:rPr>
                <w:b/>
                <w:bCs/>
              </w:rPr>
              <w:t xml:space="preserve"> nr</w:t>
            </w:r>
            <w:r>
              <w:rPr>
                <w:b/>
                <w:bCs/>
              </w:rPr>
              <w:t>.</w:t>
            </w:r>
            <w:r w:rsidRPr="005302C6">
              <w:rPr>
                <w:b/>
                <w:bCs/>
              </w:rPr>
              <w:t xml:space="preserve"> 480 af 22</w:t>
            </w:r>
            <w:r>
              <w:rPr>
                <w:b/>
                <w:bCs/>
              </w:rPr>
              <w:t xml:space="preserve">. maj </w:t>
            </w:r>
            <w:r w:rsidRPr="005302C6">
              <w:rPr>
                <w:b/>
                <w:bCs/>
              </w:rPr>
              <w:t>2024</w:t>
            </w:r>
            <w:r>
              <w:rPr>
                <w:b/>
                <w:bCs/>
              </w:rPr>
              <w:t xml:space="preserve"> </w:t>
            </w:r>
            <w:r w:rsidR="00F65EA7" w:rsidRPr="00F65EA7">
              <w:rPr>
                <w:b/>
                <w:bCs/>
              </w:rPr>
              <w:t>om ændring af årsregnskabsloven, revisorloven og forskellige andre love</w:t>
            </w:r>
          </w:p>
          <w:p w14:paraId="40FF62F8" w14:textId="77777777" w:rsidR="00F65EA7" w:rsidRDefault="00F65EA7" w:rsidP="00F65EA7">
            <w:pPr>
              <w:rPr>
                <w:b/>
                <w:bCs/>
              </w:rPr>
            </w:pPr>
            <w:r w:rsidRPr="00F65EA7">
              <w:rPr>
                <w:b/>
                <w:bCs/>
              </w:rPr>
              <w:t>(Gennemførelse af EU-direktiv om virksomheders bæredygtighedsrapportering og EU-direktiv om forhøjelse af størrelsesgrænser i regnskabsdirektivet m.v.)</w:t>
            </w:r>
          </w:p>
          <w:bookmarkEnd w:id="0"/>
          <w:p w14:paraId="45C8A78F" w14:textId="77777777" w:rsidR="00F65EA7" w:rsidRPr="00F65EA7" w:rsidRDefault="00F65EA7" w:rsidP="00F65EA7"/>
          <w:p w14:paraId="09C2562D" w14:textId="51DF48C4" w:rsidR="005302C6" w:rsidRDefault="00F65EA7" w:rsidP="00F65EA7">
            <w:r w:rsidRPr="00F65EA7">
              <w:t xml:space="preserve">Formålet med loven er implementering af EU’s direktiv om virksomheders bæredygtighedsrapportering og om forhøjelse af størrelsesgrænserne i regnskabsdirektivet. </w:t>
            </w:r>
            <w:r w:rsidR="005302C6">
              <w:t>Loven</w:t>
            </w:r>
            <w:r w:rsidRPr="00F65EA7">
              <w:t xml:space="preserve"> ændrer </w:t>
            </w:r>
            <w:r w:rsidR="00DA79C6">
              <w:t xml:space="preserve">i </w:t>
            </w:r>
            <w:r w:rsidRPr="00F65EA7">
              <w:t>den finansielle lovgivning</w:t>
            </w:r>
            <w:r w:rsidR="005302C6">
              <w:t>, herunder i</w:t>
            </w:r>
            <w:r w:rsidR="005302C6" w:rsidRPr="005302C6">
              <w:t xml:space="preserve"> lov om fondsmæglerselskaber og investeringsservice og -aktiviteter</w:t>
            </w:r>
            <w:r w:rsidR="005302C6">
              <w:t xml:space="preserve"> (se ændringslovens § 10</w:t>
            </w:r>
            <w:r w:rsidR="00DA79C6">
              <w:t xml:space="preserve"> i linket</w:t>
            </w:r>
            <w:r w:rsidR="005302C6">
              <w:t>)</w:t>
            </w:r>
            <w:r w:rsidRPr="00F65EA7">
              <w:t>.</w:t>
            </w:r>
          </w:p>
          <w:p w14:paraId="2084A667" w14:textId="096F3148" w:rsidR="00F65EA7" w:rsidRPr="00F65EA7" w:rsidRDefault="00F65EA7" w:rsidP="00F65EA7">
            <w:r w:rsidRPr="00F65EA7">
              <w:t xml:space="preserve"> </w:t>
            </w:r>
          </w:p>
          <w:p w14:paraId="7877B5EF" w14:textId="41C4721E" w:rsidR="00DA79C6" w:rsidRDefault="00F65EA7" w:rsidP="00DA79C6">
            <w:r w:rsidRPr="00F65EA7">
              <w:t>Bæredygtighedsdirektivet medfører et krav om, at nærmere opregnede virksomheder på det finansielle område</w:t>
            </w:r>
            <w:r w:rsidR="005302C6">
              <w:t>, herunder fondsmæglerselskaber,</w:t>
            </w:r>
            <w:r w:rsidRPr="00F65EA7">
              <w:t xml:space="preserve"> fremover skal udarbejde bæredygtighedsrapportering i ledelsesberetningen i årsrapporten. </w:t>
            </w:r>
            <w:r w:rsidR="00DA79C6">
              <w:t>Endvidere stilles krav om, at revisor skal afgive en erklæring om bæredygtighedsrapporteringen med begrænset sikkerhed. Derudover stilles krav om indberetning i et særligt elektronisk format.</w:t>
            </w:r>
            <w:r w:rsidRPr="00F65EA7">
              <w:t xml:space="preserve"> </w:t>
            </w:r>
          </w:p>
          <w:p w14:paraId="3A0C83B5" w14:textId="77777777" w:rsidR="00DA79C6" w:rsidRDefault="00DA79C6" w:rsidP="00F65EA7"/>
          <w:p w14:paraId="1BF07CE2" w14:textId="78D5DC08" w:rsidR="00F65EA7" w:rsidRDefault="00F65EA7" w:rsidP="00F65EA7">
            <w:r w:rsidRPr="00F65EA7">
              <w:t>Nærmere regler om pligten til at udarbejde en bæredygtighedsrapportering for finansielle virksomheder</w:t>
            </w:r>
            <w:r w:rsidR="00DA79C6">
              <w:t>, herunder fondsmæglerselskaber,</w:t>
            </w:r>
            <w:r w:rsidRPr="00F65EA7">
              <w:t xml:space="preserve"> fastlægges i Finanstilsynets regnskabsbekendtgørelser.</w:t>
            </w:r>
          </w:p>
          <w:p w14:paraId="4FE10304" w14:textId="77777777" w:rsidR="0004343B" w:rsidRPr="00F65EA7" w:rsidRDefault="0004343B" w:rsidP="00F65EA7"/>
          <w:p w14:paraId="73F3BE2B" w14:textId="77777777" w:rsidR="00F65EA7" w:rsidRDefault="00F65EA7" w:rsidP="00F65EA7">
            <w:r w:rsidRPr="00F65EA7">
              <w:t>Loven træder generelt i kraft den 1. juni 2024.</w:t>
            </w:r>
          </w:p>
          <w:p w14:paraId="32F8068C" w14:textId="77777777" w:rsidR="005302C6" w:rsidRPr="00F65EA7" w:rsidRDefault="005302C6" w:rsidP="00F65EA7"/>
          <w:p w14:paraId="68D3702E" w14:textId="781BAC92" w:rsidR="00F65EA7" w:rsidRPr="00F65EA7" w:rsidRDefault="00F65EA7" w:rsidP="00F65EA7">
            <w:r w:rsidRPr="00F65EA7">
              <w:t>(Vedtaget den 2. maj 2024,</w:t>
            </w:r>
            <w:r w:rsidR="005302C6">
              <w:t xml:space="preserve"> </w:t>
            </w:r>
            <w:hyperlink r:id="rId8" w:history="1">
              <w:r w:rsidR="005302C6" w:rsidRPr="005302C6">
                <w:rPr>
                  <w:rStyle w:val="Hyperlink"/>
                </w:rPr>
                <w:t>link</w:t>
              </w:r>
            </w:hyperlink>
            <w:r w:rsidRPr="00F65EA7">
              <w:t>)</w:t>
            </w:r>
          </w:p>
          <w:p w14:paraId="12837898" w14:textId="77777777" w:rsidR="00F65EA7" w:rsidRPr="00F65EA7" w:rsidRDefault="00F65EA7" w:rsidP="00F65EA7"/>
          <w:p w14:paraId="58B61790" w14:textId="5FEC99CE" w:rsidR="00F65EA7" w:rsidRPr="00F65EA7" w:rsidRDefault="0004343B" w:rsidP="00F65EA7">
            <w:pPr>
              <w:rPr>
                <w:b/>
                <w:bCs/>
              </w:rPr>
            </w:pPr>
            <w:bookmarkStart w:id="1" w:name="B"/>
            <w:r>
              <w:rPr>
                <w:b/>
                <w:bCs/>
              </w:rPr>
              <w:t>Lov</w:t>
            </w:r>
            <w:r w:rsidRPr="0004343B">
              <w:rPr>
                <w:b/>
                <w:bCs/>
              </w:rPr>
              <w:t xml:space="preserve"> nr</w:t>
            </w:r>
            <w:r>
              <w:rPr>
                <w:b/>
                <w:bCs/>
              </w:rPr>
              <w:t>.</w:t>
            </w:r>
            <w:r w:rsidRPr="0004343B">
              <w:rPr>
                <w:b/>
                <w:bCs/>
              </w:rPr>
              <w:t xml:space="preserve"> 481 af 22</w:t>
            </w:r>
            <w:r>
              <w:rPr>
                <w:b/>
                <w:bCs/>
              </w:rPr>
              <w:t xml:space="preserve">. maj </w:t>
            </w:r>
            <w:r w:rsidRPr="0004343B">
              <w:rPr>
                <w:b/>
                <w:bCs/>
              </w:rPr>
              <w:t>2024</w:t>
            </w:r>
            <w:r w:rsidR="00F65EA7" w:rsidRPr="00F65EA7">
              <w:rPr>
                <w:b/>
                <w:bCs/>
              </w:rPr>
              <w:t xml:space="preserve"> om ændring af lov om finansiel virksomhed, lov om betalinger, lov om kapitalmarkeder og forskellige andre love</w:t>
            </w:r>
          </w:p>
          <w:p w14:paraId="5CB2DFEE" w14:textId="77777777" w:rsidR="00F65EA7" w:rsidRDefault="00F65EA7" w:rsidP="00F65EA7">
            <w:pPr>
              <w:rPr>
                <w:b/>
                <w:bCs/>
              </w:rPr>
            </w:pPr>
            <w:r w:rsidRPr="00F65EA7">
              <w:rPr>
                <w:b/>
                <w:bCs/>
              </w:rPr>
              <w:t xml:space="preserve">(Tilsyn efter forordning om digital operationel modstandsdygtighed i den finansielle sektor og forordning om markeder for </w:t>
            </w:r>
            <w:proofErr w:type="spellStart"/>
            <w:r w:rsidRPr="00F65EA7">
              <w:rPr>
                <w:b/>
                <w:bCs/>
              </w:rPr>
              <w:t>kryptoaktiver</w:t>
            </w:r>
            <w:proofErr w:type="spellEnd"/>
            <w:r w:rsidRPr="00F65EA7">
              <w:rPr>
                <w:b/>
                <w:bCs/>
              </w:rPr>
              <w:t>, regler for udpegelse af administrationsselskab for Garantifonden og aflønningsregler for firmapensionskasser)</w:t>
            </w:r>
          </w:p>
          <w:bookmarkEnd w:id="1"/>
          <w:p w14:paraId="14D6975C" w14:textId="77777777" w:rsidR="00F65EA7" w:rsidRPr="00F65EA7" w:rsidRDefault="00F65EA7" w:rsidP="00F65EA7">
            <w:pPr>
              <w:rPr>
                <w:b/>
                <w:bCs/>
              </w:rPr>
            </w:pPr>
          </w:p>
          <w:p w14:paraId="55458786" w14:textId="19F21D9C" w:rsidR="00F65EA7" w:rsidRPr="00F65EA7" w:rsidRDefault="00F65EA7" w:rsidP="00F65EA7">
            <w:r w:rsidRPr="00F65EA7">
              <w:t xml:space="preserve">Loven </w:t>
            </w:r>
            <w:r w:rsidR="00820B66">
              <w:t xml:space="preserve">ændrer bl.a. i lov om fondsmæglerselskaber og investeringsservice og -aktiviteter </w:t>
            </w:r>
            <w:r w:rsidR="00820B66" w:rsidRPr="00820B66">
              <w:t>(se ændringslovens § 4</w:t>
            </w:r>
            <w:r w:rsidR="009F3AA2">
              <w:t xml:space="preserve"> i linket</w:t>
            </w:r>
            <w:r w:rsidR="00820B66" w:rsidRPr="00820B66">
              <w:t>)</w:t>
            </w:r>
            <w:r w:rsidR="00820B66">
              <w:t xml:space="preserve">. Den </w:t>
            </w:r>
            <w:r w:rsidRPr="00F65EA7">
              <w:t>implementerer</w:t>
            </w:r>
            <w:r w:rsidR="009F3AA2">
              <w:t xml:space="preserve"> bl.a.</w:t>
            </w:r>
            <w:r w:rsidR="00820B66">
              <w:t xml:space="preserve"> </w:t>
            </w:r>
            <w:r w:rsidR="008717FF">
              <w:t xml:space="preserve">dele af </w:t>
            </w:r>
            <w:r w:rsidRPr="00F65EA7">
              <w:t xml:space="preserve">DORA og </w:t>
            </w:r>
            <w:proofErr w:type="spellStart"/>
            <w:r w:rsidRPr="00F65EA7">
              <w:t>MiCA</w:t>
            </w:r>
            <w:proofErr w:type="spellEnd"/>
            <w:r w:rsidRPr="00F65EA7">
              <w:t xml:space="preserve">. </w:t>
            </w:r>
          </w:p>
          <w:p w14:paraId="676D0641" w14:textId="32ECA627" w:rsidR="00F65EA7" w:rsidRDefault="00F65EA7" w:rsidP="00F65EA7">
            <w:r w:rsidRPr="00F65EA7">
              <w:t xml:space="preserve">I relation til </w:t>
            </w:r>
            <w:proofErr w:type="spellStart"/>
            <w:r w:rsidRPr="00F65EA7">
              <w:t>MiCA</w:t>
            </w:r>
            <w:proofErr w:type="spellEnd"/>
            <w:r w:rsidRPr="00F65EA7">
              <w:t xml:space="preserve"> </w:t>
            </w:r>
            <w:r w:rsidR="00820B66">
              <w:t xml:space="preserve">giver </w:t>
            </w:r>
            <w:r w:rsidR="009F3AA2">
              <w:t>ændringen</w:t>
            </w:r>
            <w:r w:rsidR="00820B66">
              <w:t xml:space="preserve"> fondsmæglerselskaber </w:t>
            </w:r>
            <w:r w:rsidRPr="00F65EA7">
              <w:t xml:space="preserve">mulighed for at yde tjenester med </w:t>
            </w:r>
            <w:proofErr w:type="spellStart"/>
            <w:r w:rsidRPr="00F65EA7">
              <w:t>kryptoaktiver</w:t>
            </w:r>
            <w:proofErr w:type="spellEnd"/>
            <w:r w:rsidR="00820B66" w:rsidRPr="00820B66">
              <w:t xml:space="preserve"> </w:t>
            </w:r>
            <w:r w:rsidR="009A0C7F">
              <w:t xml:space="preserve">i forhold </w:t>
            </w:r>
            <w:r w:rsidR="00820B66" w:rsidRPr="00820B66">
              <w:t xml:space="preserve">til de tjenester, som </w:t>
            </w:r>
            <w:r w:rsidR="009A0C7F">
              <w:t>virksomheden</w:t>
            </w:r>
            <w:r w:rsidR="00820B66" w:rsidRPr="00820B66">
              <w:t xml:space="preserve"> </w:t>
            </w:r>
            <w:r w:rsidR="00820B66">
              <w:t xml:space="preserve">i øvrigt er </w:t>
            </w:r>
            <w:r w:rsidR="00820B66" w:rsidRPr="00820B66">
              <w:t xml:space="preserve">meddelt tilladelse til i henhold til </w:t>
            </w:r>
            <w:r w:rsidR="00820B66">
              <w:t xml:space="preserve">lov om fondsmæglerselskaber og investeringsservice og -aktiviteter. Dette </w:t>
            </w:r>
            <w:r w:rsidR="009A0C7F">
              <w:t>forudsætter</w:t>
            </w:r>
            <w:r w:rsidR="00023A5D">
              <w:t xml:space="preserve"> en notifikation til </w:t>
            </w:r>
            <w:r w:rsidR="00820B66">
              <w:t>Finanstilsynet</w:t>
            </w:r>
            <w:r w:rsidR="008717FF">
              <w:t xml:space="preserve"> </w:t>
            </w:r>
            <w:r w:rsidR="009A0C7F">
              <w:t xml:space="preserve">senest </w:t>
            </w:r>
            <w:r w:rsidR="008717FF">
              <w:t xml:space="preserve">40 dage inden påbegyndelsen af tjenesteydelserne med </w:t>
            </w:r>
            <w:proofErr w:type="spellStart"/>
            <w:r w:rsidR="008717FF">
              <w:t>kryptoaktiver</w:t>
            </w:r>
            <w:proofErr w:type="spellEnd"/>
            <w:r w:rsidR="00820B66">
              <w:t>.</w:t>
            </w:r>
          </w:p>
          <w:p w14:paraId="69C8FA15" w14:textId="77777777" w:rsidR="00722466" w:rsidRDefault="00722466" w:rsidP="00F65EA7"/>
          <w:p w14:paraId="71F54F89" w14:textId="15A2F3C9" w:rsidR="00931B7B" w:rsidRDefault="00023A5D" w:rsidP="00F65EA7">
            <w:r>
              <w:t xml:space="preserve">DORA ændrer bl.a. i </w:t>
            </w:r>
            <w:proofErr w:type="spellStart"/>
            <w:r>
              <w:t>MiFID</w:t>
            </w:r>
            <w:proofErr w:type="spellEnd"/>
            <w:r>
              <w:t xml:space="preserve"> II. På den baggrund </w:t>
            </w:r>
            <w:r w:rsidR="00931B7B">
              <w:t>indarbejdes</w:t>
            </w:r>
            <w:r>
              <w:t xml:space="preserve"> i l</w:t>
            </w:r>
            <w:r w:rsidRPr="00023A5D">
              <w:t>ov om fondsmæglerselskaber og investeringsservice og -aktiviteter</w:t>
            </w:r>
            <w:r w:rsidR="00931B7B">
              <w:t xml:space="preserve"> en henvisning til</w:t>
            </w:r>
            <w:r w:rsidR="00722466">
              <w:t xml:space="preserve"> DORA </w:t>
            </w:r>
            <w:r w:rsidR="00931B7B">
              <w:t xml:space="preserve">i bestemmelserne om krav til fondsmæglerselskabers organisation og sikringen af sammenhæng og regelmæssighed i virksomheden som værdipapirhandler. </w:t>
            </w:r>
          </w:p>
          <w:p w14:paraId="703CC040" w14:textId="77777777" w:rsidR="00023A5D" w:rsidRDefault="00023A5D" w:rsidP="00F65EA7"/>
          <w:p w14:paraId="5AE3EB1D" w14:textId="276F3479" w:rsidR="00722466" w:rsidRPr="00F65EA7" w:rsidRDefault="00722466" w:rsidP="00F65EA7">
            <w:r>
              <w:t xml:space="preserve">Endelig foretages en række ændringer af </w:t>
            </w:r>
            <w:r w:rsidRPr="00722466">
              <w:t>lov om fondsmæglerselskaber og investeringsservice og -aktiviteter</w:t>
            </w:r>
            <w:r>
              <w:t xml:space="preserve">, som skal sikre en mere </w:t>
            </w:r>
            <w:r w:rsidR="009A0C7F">
              <w:t>direktivkonform</w:t>
            </w:r>
            <w:r>
              <w:t xml:space="preserve"> dansk implementering af BRRD.</w:t>
            </w:r>
          </w:p>
          <w:p w14:paraId="19F81B59" w14:textId="77777777" w:rsidR="0004343B" w:rsidRDefault="0004343B" w:rsidP="00F65EA7"/>
          <w:p w14:paraId="138A45AC" w14:textId="3BAA93E2" w:rsidR="00F65EA7" w:rsidRDefault="00F65EA7" w:rsidP="00F65EA7">
            <w:r w:rsidRPr="00F65EA7">
              <w:t>Loven træder, med visse undtagelser, i kraft den 1. juli 2024.</w:t>
            </w:r>
          </w:p>
          <w:p w14:paraId="5637F478" w14:textId="77777777" w:rsidR="0004343B" w:rsidRPr="00F65EA7" w:rsidRDefault="0004343B" w:rsidP="00F65EA7"/>
          <w:p w14:paraId="3A9F8C29" w14:textId="74E1D3B9" w:rsidR="00F65EA7" w:rsidRPr="00F65EA7" w:rsidRDefault="00F65EA7" w:rsidP="00F65EA7">
            <w:r w:rsidRPr="00F65EA7">
              <w:t xml:space="preserve">(Vedtaget </w:t>
            </w:r>
            <w:r w:rsidR="004812AE">
              <w:t xml:space="preserve">den </w:t>
            </w:r>
            <w:r w:rsidRPr="00F65EA7">
              <w:t>2. maj 2024,</w:t>
            </w:r>
            <w:r w:rsidR="0004343B">
              <w:t xml:space="preserve"> </w:t>
            </w:r>
            <w:hyperlink r:id="rId9" w:history="1">
              <w:r w:rsidR="0004343B" w:rsidRPr="0004343B">
                <w:rPr>
                  <w:rStyle w:val="Hyperlink"/>
                </w:rPr>
                <w:t>link</w:t>
              </w:r>
            </w:hyperlink>
            <w:r w:rsidRPr="00F65EA7">
              <w:t>)</w:t>
            </w:r>
          </w:p>
          <w:p w14:paraId="1136A53C" w14:textId="77777777" w:rsidR="00F65EA7" w:rsidRDefault="00F65EA7"/>
        </w:tc>
      </w:tr>
      <w:tr w:rsidR="00BE4C01" w14:paraId="46B86ADE" w14:textId="77777777" w:rsidTr="0045749D">
        <w:tc>
          <w:tcPr>
            <w:tcW w:w="9628" w:type="dxa"/>
            <w:shd w:val="clear" w:color="auto" w:fill="D9D9D9" w:themeFill="background1" w:themeFillShade="D9"/>
          </w:tcPr>
          <w:p w14:paraId="22197C0B" w14:textId="3757CD86" w:rsidR="00BE4C01" w:rsidRPr="005945AC" w:rsidRDefault="00BE4C01" w:rsidP="00BE4C01">
            <w:pPr>
              <w:pStyle w:val="Listeafsnit"/>
              <w:numPr>
                <w:ilvl w:val="1"/>
                <w:numId w:val="1"/>
              </w:numPr>
              <w:rPr>
                <w:b/>
                <w:bCs/>
              </w:rPr>
            </w:pPr>
            <w:r w:rsidRPr="005945AC">
              <w:rPr>
                <w:b/>
                <w:bCs/>
              </w:rPr>
              <w:lastRenderedPageBreak/>
              <w:t>Bekendtgørelse</w:t>
            </w:r>
            <w:r w:rsidR="00136D9B">
              <w:rPr>
                <w:b/>
                <w:bCs/>
              </w:rPr>
              <w:t>r</w:t>
            </w:r>
            <w:r w:rsidRPr="005945AC">
              <w:rPr>
                <w:b/>
                <w:bCs/>
              </w:rPr>
              <w:t xml:space="preserve"> m.v.</w:t>
            </w:r>
          </w:p>
        </w:tc>
      </w:tr>
      <w:tr w:rsidR="00BE4C01" w14:paraId="159B5602" w14:textId="77777777" w:rsidTr="00BE4C01">
        <w:tc>
          <w:tcPr>
            <w:tcW w:w="9628" w:type="dxa"/>
          </w:tcPr>
          <w:p w14:paraId="1D4F8D19" w14:textId="77777777" w:rsidR="00BE4C01" w:rsidRDefault="00BE4C01"/>
          <w:p w14:paraId="499A673B" w14:textId="77777777" w:rsidR="00EC2B82" w:rsidRPr="00EC2B82" w:rsidRDefault="00EC2B82" w:rsidP="00EC2B82">
            <w:pPr>
              <w:rPr>
                <w:b/>
                <w:bCs/>
              </w:rPr>
            </w:pPr>
            <w:bookmarkStart w:id="2" w:name="c"/>
            <w:r w:rsidRPr="00EC2B82">
              <w:rPr>
                <w:b/>
                <w:bCs/>
              </w:rPr>
              <w:t>Bekendtgørelse om finansielle virksomheders m.v. pligt til at offentliggøre Finanstilsynets vurdering af virksomheden m.v.</w:t>
            </w:r>
          </w:p>
          <w:bookmarkEnd w:id="2"/>
          <w:p w14:paraId="25C9002B" w14:textId="77777777" w:rsidR="00EC2B82" w:rsidRDefault="00EC2B82" w:rsidP="00EC2B82"/>
          <w:p w14:paraId="43770F3C" w14:textId="65A83D3A" w:rsidR="00EC2B82" w:rsidRPr="00EC2B82" w:rsidRDefault="00EC2B82" w:rsidP="00EC2B82">
            <w:r w:rsidRPr="00EC2B82">
              <w:t xml:space="preserve">I forhold til de hidtidige regler </w:t>
            </w:r>
            <w:r>
              <w:t xml:space="preserve">er </w:t>
            </w:r>
            <w:r w:rsidRPr="00EC2B82">
              <w:t xml:space="preserve">bekendtgørelsen blevet opdateret til at omfatte </w:t>
            </w:r>
            <w:r>
              <w:t>nye typer af virksomheder</w:t>
            </w:r>
            <w:r w:rsidRPr="00EC2B82">
              <w:t>.</w:t>
            </w:r>
            <w:r>
              <w:t xml:space="preserve"> Der er ingen materielle ændringer for fondsmæglerselskaber.</w:t>
            </w:r>
            <w:r w:rsidRPr="00EC2B82">
              <w:t xml:space="preserve"> </w:t>
            </w:r>
          </w:p>
          <w:p w14:paraId="5B75FDAC" w14:textId="77777777" w:rsidR="00EC2B82" w:rsidRDefault="00EC2B82" w:rsidP="00EC2B82"/>
          <w:p w14:paraId="4990519B" w14:textId="2B183A01" w:rsidR="00EC2B82" w:rsidRDefault="00EC2B82" w:rsidP="00EC2B82">
            <w:r w:rsidRPr="00EC2B82">
              <w:t xml:space="preserve">(Offentliggjort den 28. maj 2024, </w:t>
            </w:r>
            <w:hyperlink r:id="rId10" w:history="1">
              <w:r w:rsidRPr="00EC2B82">
                <w:rPr>
                  <w:rStyle w:val="Hyperlink"/>
                </w:rPr>
                <w:t>link</w:t>
              </w:r>
            </w:hyperlink>
            <w:r w:rsidRPr="00EC2B82">
              <w:t>)</w:t>
            </w:r>
          </w:p>
          <w:p w14:paraId="429ADB89" w14:textId="77777777" w:rsidR="004812AE" w:rsidRDefault="004812AE" w:rsidP="00EC2B82"/>
          <w:p w14:paraId="082C8B5E" w14:textId="77777777" w:rsidR="004812AE" w:rsidRPr="004812AE" w:rsidRDefault="004812AE" w:rsidP="004812AE">
            <w:pPr>
              <w:rPr>
                <w:b/>
                <w:bCs/>
              </w:rPr>
            </w:pPr>
            <w:bookmarkStart w:id="3" w:name="d"/>
            <w:r w:rsidRPr="004812AE">
              <w:rPr>
                <w:b/>
                <w:bCs/>
              </w:rPr>
              <w:t>Bekendtgørelse nr. 528 af 27. maj 2024 om ophævelse af bekendtgørelse om digital kommunikation</w:t>
            </w:r>
          </w:p>
          <w:bookmarkEnd w:id="3"/>
          <w:p w14:paraId="329D50AA" w14:textId="77777777" w:rsidR="004812AE" w:rsidRDefault="004812AE" w:rsidP="004812AE"/>
          <w:p w14:paraId="2FEB4029" w14:textId="2617EDA1" w:rsidR="004812AE" w:rsidRPr="004812AE" w:rsidRDefault="004812AE" w:rsidP="004812AE">
            <w:r w:rsidRPr="004812AE">
              <w:t>Bekendtgørelsen om digital kommunikation ophæves</w:t>
            </w:r>
            <w:r>
              <w:t xml:space="preserve"> pr. 1. juli 2024</w:t>
            </w:r>
            <w:r w:rsidRPr="004812AE">
              <w:t xml:space="preserve">, da digital kommunikation er reguleret i lov om Digital Post fra offentlige afsendere. </w:t>
            </w:r>
          </w:p>
          <w:p w14:paraId="6F092268" w14:textId="7F03EFA8" w:rsidR="004812AE" w:rsidRPr="004812AE" w:rsidRDefault="004812AE" w:rsidP="004812AE"/>
          <w:p w14:paraId="4C79F4DA" w14:textId="77777777" w:rsidR="004812AE" w:rsidRPr="004812AE" w:rsidRDefault="004812AE" w:rsidP="004812AE">
            <w:r w:rsidRPr="004812AE">
              <w:t xml:space="preserve">(Offentliggjort den 28. maj 2024, </w:t>
            </w:r>
            <w:hyperlink r:id="rId11" w:history="1">
              <w:r w:rsidRPr="004812AE">
                <w:rPr>
                  <w:rStyle w:val="Hyperlink"/>
                </w:rPr>
                <w:t>link</w:t>
              </w:r>
            </w:hyperlink>
            <w:r w:rsidRPr="004812AE">
              <w:t>)</w:t>
            </w:r>
          </w:p>
          <w:p w14:paraId="6E376A9E" w14:textId="77777777" w:rsidR="004812AE" w:rsidRPr="00EC2B82" w:rsidRDefault="004812AE" w:rsidP="00EC2B82"/>
          <w:p w14:paraId="233CBA44" w14:textId="77777777" w:rsidR="00722466" w:rsidRDefault="00722466"/>
          <w:p w14:paraId="5E116F33" w14:textId="77777777" w:rsidR="004812AE" w:rsidRPr="004812AE" w:rsidRDefault="004812AE" w:rsidP="004812AE">
            <w:pPr>
              <w:rPr>
                <w:b/>
                <w:bCs/>
              </w:rPr>
            </w:pPr>
            <w:bookmarkStart w:id="4" w:name="d2"/>
            <w:r w:rsidRPr="004812AE">
              <w:rPr>
                <w:b/>
                <w:bCs/>
              </w:rPr>
              <w:t>God praksis ved brug af kunstig intelligens i den finansielle sektor</w:t>
            </w:r>
          </w:p>
          <w:bookmarkEnd w:id="4"/>
          <w:p w14:paraId="3FB702AE" w14:textId="77777777" w:rsidR="004812AE" w:rsidRDefault="004812AE" w:rsidP="004812AE"/>
          <w:p w14:paraId="5DE3DDE1" w14:textId="13730C99" w:rsidR="004812AE" w:rsidRDefault="004812AE" w:rsidP="004812AE">
            <w:r w:rsidRPr="004812AE">
              <w:t>For at støtte de finansielle virksomheder med at bruge kunstig intelligens på en betryggende måde har Finanstilsynet udgivet en række anbefalinger til, hvad finansielle virksomheder bør overveje, når de anvender AI-teknologi.</w:t>
            </w:r>
          </w:p>
          <w:p w14:paraId="159D42B3" w14:textId="77777777" w:rsidR="004812AE" w:rsidRPr="004812AE" w:rsidRDefault="004812AE" w:rsidP="004812AE"/>
          <w:p w14:paraId="09C3DF3A" w14:textId="77777777" w:rsidR="004812AE" w:rsidRPr="004812AE" w:rsidRDefault="004812AE" w:rsidP="004812AE">
            <w:r w:rsidRPr="004812AE">
              <w:t xml:space="preserve">(Offentliggjort den 29. maj 2024, </w:t>
            </w:r>
            <w:hyperlink r:id="rId12" w:history="1">
              <w:r w:rsidRPr="004812AE">
                <w:rPr>
                  <w:rStyle w:val="Hyperlink"/>
                </w:rPr>
                <w:t>lin</w:t>
              </w:r>
              <w:r w:rsidRPr="004812AE">
                <w:rPr>
                  <w:rStyle w:val="Hyperlink"/>
                </w:rPr>
                <w:t>k</w:t>
              </w:r>
            </w:hyperlink>
            <w:r w:rsidRPr="004812AE">
              <w:t>)</w:t>
            </w:r>
          </w:p>
          <w:p w14:paraId="1EC96E0C" w14:textId="77777777" w:rsidR="004812AE" w:rsidRDefault="004812AE"/>
          <w:p w14:paraId="2BE89B52" w14:textId="77777777" w:rsidR="004812AE" w:rsidRDefault="004812AE"/>
        </w:tc>
      </w:tr>
      <w:tr w:rsidR="00BE4C01" w14:paraId="2E8F680D" w14:textId="77777777" w:rsidTr="0045749D">
        <w:tc>
          <w:tcPr>
            <w:tcW w:w="9628" w:type="dxa"/>
            <w:shd w:val="clear" w:color="auto" w:fill="D9D9D9" w:themeFill="background1" w:themeFillShade="D9"/>
          </w:tcPr>
          <w:p w14:paraId="033F4D91" w14:textId="215F6731" w:rsidR="00BE4C01" w:rsidRPr="005945AC" w:rsidRDefault="00BE4C01" w:rsidP="00BE4C01">
            <w:pPr>
              <w:pStyle w:val="Listeafsnit"/>
              <w:numPr>
                <w:ilvl w:val="0"/>
                <w:numId w:val="1"/>
              </w:numPr>
              <w:rPr>
                <w:b/>
                <w:bCs/>
              </w:rPr>
            </w:pPr>
            <w:r w:rsidRPr="005945AC">
              <w:rPr>
                <w:b/>
                <w:bCs/>
              </w:rPr>
              <w:t>EU-REGULERING (forordninger)</w:t>
            </w:r>
          </w:p>
        </w:tc>
      </w:tr>
      <w:tr w:rsidR="00BE4C01" w14:paraId="6AF8D239" w14:textId="77777777" w:rsidTr="0045749D">
        <w:tc>
          <w:tcPr>
            <w:tcW w:w="9628" w:type="dxa"/>
            <w:shd w:val="clear" w:color="auto" w:fill="D9D9D9" w:themeFill="background1" w:themeFillShade="D9"/>
          </w:tcPr>
          <w:p w14:paraId="0C426A68" w14:textId="017C4220" w:rsidR="00BE4C01" w:rsidRPr="005945AC" w:rsidRDefault="00BE4C01" w:rsidP="00BE4C01">
            <w:pPr>
              <w:pStyle w:val="Listeafsnit"/>
              <w:numPr>
                <w:ilvl w:val="1"/>
                <w:numId w:val="1"/>
              </w:numPr>
              <w:rPr>
                <w:b/>
                <w:bCs/>
              </w:rPr>
            </w:pPr>
            <w:r w:rsidRPr="005945AC">
              <w:rPr>
                <w:b/>
                <w:bCs/>
              </w:rPr>
              <w:t>Niveau 1</w:t>
            </w:r>
          </w:p>
        </w:tc>
      </w:tr>
      <w:tr w:rsidR="00BE4C01" w14:paraId="1DF6C69F" w14:textId="77777777" w:rsidTr="00BE4C01">
        <w:tc>
          <w:tcPr>
            <w:tcW w:w="9628" w:type="dxa"/>
          </w:tcPr>
          <w:p w14:paraId="663F914A" w14:textId="77777777" w:rsidR="00BE4C01" w:rsidRDefault="00BE4C01"/>
          <w:p w14:paraId="2DB4653A" w14:textId="77777777" w:rsidR="00722466" w:rsidRPr="00722466" w:rsidRDefault="00722466" w:rsidP="00722466">
            <w:r w:rsidRPr="00722466">
              <w:lastRenderedPageBreak/>
              <w:t>(Intet nyt)</w:t>
            </w:r>
          </w:p>
          <w:p w14:paraId="010E559B" w14:textId="77777777" w:rsidR="00722466" w:rsidRDefault="00722466"/>
        </w:tc>
      </w:tr>
      <w:tr w:rsidR="00BE4C01" w14:paraId="33726393" w14:textId="77777777" w:rsidTr="0045749D">
        <w:tc>
          <w:tcPr>
            <w:tcW w:w="9628" w:type="dxa"/>
            <w:shd w:val="clear" w:color="auto" w:fill="D9D9D9" w:themeFill="background1" w:themeFillShade="D9"/>
          </w:tcPr>
          <w:p w14:paraId="5443431C" w14:textId="42CA405D" w:rsidR="00BE4C01" w:rsidRPr="005945AC" w:rsidRDefault="00BE4C01" w:rsidP="00BE4C01">
            <w:pPr>
              <w:pStyle w:val="Listeafsnit"/>
              <w:numPr>
                <w:ilvl w:val="1"/>
                <w:numId w:val="1"/>
              </w:numPr>
              <w:rPr>
                <w:b/>
                <w:bCs/>
              </w:rPr>
            </w:pPr>
            <w:r w:rsidRPr="005945AC">
              <w:rPr>
                <w:b/>
                <w:bCs/>
              </w:rPr>
              <w:lastRenderedPageBreak/>
              <w:t>Niveau 2</w:t>
            </w:r>
          </w:p>
        </w:tc>
      </w:tr>
      <w:tr w:rsidR="00BE4C01" w14:paraId="041C1121" w14:textId="77777777" w:rsidTr="00BE4C01">
        <w:tc>
          <w:tcPr>
            <w:tcW w:w="9628" w:type="dxa"/>
          </w:tcPr>
          <w:p w14:paraId="20B9A072" w14:textId="77777777" w:rsidR="00BE4C01" w:rsidRDefault="00BE4C01"/>
          <w:p w14:paraId="2BDB0B20" w14:textId="77777777" w:rsidR="00722466" w:rsidRPr="00722466" w:rsidRDefault="00722466" w:rsidP="00722466">
            <w:r w:rsidRPr="00722466">
              <w:t>(Intet nyt)</w:t>
            </w:r>
          </w:p>
          <w:p w14:paraId="570C0B58" w14:textId="77777777" w:rsidR="00F65EA7" w:rsidRDefault="00F65EA7" w:rsidP="005302C6"/>
        </w:tc>
      </w:tr>
      <w:tr w:rsidR="00BE4C01" w14:paraId="15D16C97" w14:textId="77777777" w:rsidTr="0045749D">
        <w:tc>
          <w:tcPr>
            <w:tcW w:w="9628" w:type="dxa"/>
            <w:shd w:val="clear" w:color="auto" w:fill="D9D9D9" w:themeFill="background1" w:themeFillShade="D9"/>
          </w:tcPr>
          <w:p w14:paraId="2EAF4AB2" w14:textId="47D47A5D" w:rsidR="00BE4C01" w:rsidRPr="005945AC" w:rsidRDefault="00BE4C01" w:rsidP="00BE4C01">
            <w:pPr>
              <w:pStyle w:val="Listeafsnit"/>
              <w:numPr>
                <w:ilvl w:val="0"/>
                <w:numId w:val="1"/>
              </w:numPr>
              <w:rPr>
                <w:b/>
                <w:bCs/>
              </w:rPr>
            </w:pPr>
            <w:r w:rsidRPr="005945AC">
              <w:rPr>
                <w:b/>
                <w:bCs/>
              </w:rPr>
              <w:t>RETNINGSLINJER FRA ESA’ERNE</w:t>
            </w:r>
          </w:p>
        </w:tc>
      </w:tr>
      <w:tr w:rsidR="00BE4C01" w14:paraId="7EFB212B" w14:textId="77777777" w:rsidTr="0045749D">
        <w:tc>
          <w:tcPr>
            <w:tcW w:w="9628" w:type="dxa"/>
            <w:shd w:val="clear" w:color="auto" w:fill="D9D9D9" w:themeFill="background1" w:themeFillShade="D9"/>
          </w:tcPr>
          <w:p w14:paraId="08A36234" w14:textId="6C0B6A7D" w:rsidR="00BE4C01" w:rsidRPr="005945AC" w:rsidRDefault="00BE4C01" w:rsidP="00BE4C01">
            <w:pPr>
              <w:pStyle w:val="Listeafsnit"/>
              <w:numPr>
                <w:ilvl w:val="1"/>
                <w:numId w:val="1"/>
              </w:numPr>
              <w:rPr>
                <w:b/>
                <w:bCs/>
              </w:rPr>
            </w:pPr>
            <w:r w:rsidRPr="005945AC">
              <w:rPr>
                <w:b/>
                <w:bCs/>
              </w:rPr>
              <w:t>EBA</w:t>
            </w:r>
          </w:p>
        </w:tc>
      </w:tr>
      <w:tr w:rsidR="00BE4C01" w14:paraId="46B54A56" w14:textId="77777777" w:rsidTr="00BE4C01">
        <w:tc>
          <w:tcPr>
            <w:tcW w:w="9628" w:type="dxa"/>
          </w:tcPr>
          <w:p w14:paraId="055BC789" w14:textId="77777777" w:rsidR="00BE4C01" w:rsidRDefault="00BE4C01"/>
          <w:p w14:paraId="7DDCACF9" w14:textId="77777777" w:rsidR="00722466" w:rsidRPr="00722466" w:rsidRDefault="00722466" w:rsidP="00722466">
            <w:r w:rsidRPr="00722466">
              <w:t>(Intet nyt)</w:t>
            </w:r>
          </w:p>
          <w:p w14:paraId="5E1E2D1B" w14:textId="77777777" w:rsidR="00722466" w:rsidRDefault="00722466"/>
        </w:tc>
      </w:tr>
      <w:tr w:rsidR="00BE4C01" w14:paraId="2CFF0838" w14:textId="77777777" w:rsidTr="0045749D">
        <w:tc>
          <w:tcPr>
            <w:tcW w:w="9628" w:type="dxa"/>
            <w:shd w:val="clear" w:color="auto" w:fill="D9D9D9" w:themeFill="background1" w:themeFillShade="D9"/>
          </w:tcPr>
          <w:p w14:paraId="01FEF4B9" w14:textId="752585A1" w:rsidR="00BE4C01" w:rsidRPr="005945AC" w:rsidRDefault="00BE4C01" w:rsidP="00BE4C01">
            <w:pPr>
              <w:pStyle w:val="Listeafsnit"/>
              <w:numPr>
                <w:ilvl w:val="1"/>
                <w:numId w:val="1"/>
              </w:numPr>
              <w:rPr>
                <w:b/>
                <w:bCs/>
              </w:rPr>
            </w:pPr>
            <w:r w:rsidRPr="005945AC">
              <w:rPr>
                <w:b/>
                <w:bCs/>
              </w:rPr>
              <w:t>ESMA</w:t>
            </w:r>
          </w:p>
        </w:tc>
      </w:tr>
      <w:tr w:rsidR="00BE4C01" w14:paraId="7F315866" w14:textId="77777777" w:rsidTr="00BE4C01">
        <w:tc>
          <w:tcPr>
            <w:tcW w:w="9628" w:type="dxa"/>
          </w:tcPr>
          <w:p w14:paraId="75F06407" w14:textId="77777777" w:rsidR="00BE4C01" w:rsidRDefault="00BE4C01"/>
          <w:p w14:paraId="4563AE87" w14:textId="77777777" w:rsidR="004812AE" w:rsidRPr="004812AE" w:rsidRDefault="004812AE" w:rsidP="004812AE">
            <w:pPr>
              <w:rPr>
                <w:b/>
                <w:bCs/>
              </w:rPr>
            </w:pPr>
            <w:bookmarkStart w:id="5" w:name="e"/>
            <w:r w:rsidRPr="004812AE">
              <w:rPr>
                <w:b/>
                <w:bCs/>
              </w:rPr>
              <w:t>ESMA yder vejledning til selskaber, der anvender kunstig intelligens i forbindelse med investeringsservice</w:t>
            </w:r>
          </w:p>
          <w:bookmarkEnd w:id="5"/>
          <w:p w14:paraId="063DB1FA" w14:textId="77777777" w:rsidR="004812AE" w:rsidRDefault="004812AE" w:rsidP="004812AE"/>
          <w:p w14:paraId="1C2B53E0" w14:textId="163EE757" w:rsidR="004812AE" w:rsidRPr="004812AE" w:rsidRDefault="004812AE" w:rsidP="004812AE">
            <w:r w:rsidRPr="004812AE">
              <w:t xml:space="preserve">ESMA har offentliggjort en udtalelse med vejledning til virksomheder, der anvender kunstig intelligens, når de yder investeringsservice til detailkunder. Udtalelsen berører et bredt spektrum af virksomhedernes forpligtelser under </w:t>
            </w:r>
            <w:proofErr w:type="spellStart"/>
            <w:r w:rsidRPr="004812AE">
              <w:t>MiFID</w:t>
            </w:r>
            <w:proofErr w:type="spellEnd"/>
            <w:r w:rsidRPr="004812AE">
              <w:t xml:space="preserve"> II.</w:t>
            </w:r>
          </w:p>
          <w:p w14:paraId="6E4E9FED" w14:textId="77777777" w:rsidR="004812AE" w:rsidRDefault="004812AE" w:rsidP="004812AE"/>
          <w:p w14:paraId="453D8241" w14:textId="07E16E3C" w:rsidR="004812AE" w:rsidRPr="004812AE" w:rsidRDefault="004812AE" w:rsidP="004812AE">
            <w:r w:rsidRPr="004812AE">
              <w:t xml:space="preserve">(Offentliggjort den 30. maj 2024, </w:t>
            </w:r>
            <w:hyperlink r:id="rId13" w:history="1">
              <w:r w:rsidRPr="004812AE">
                <w:rPr>
                  <w:rStyle w:val="Hyperlink"/>
                </w:rPr>
                <w:t>li</w:t>
              </w:r>
              <w:r w:rsidRPr="004812AE">
                <w:rPr>
                  <w:rStyle w:val="Hyperlink"/>
                </w:rPr>
                <w:t>n</w:t>
              </w:r>
              <w:r w:rsidRPr="004812AE">
                <w:rPr>
                  <w:rStyle w:val="Hyperlink"/>
                </w:rPr>
                <w:t>k</w:t>
              </w:r>
            </w:hyperlink>
            <w:r w:rsidRPr="004812AE">
              <w:t>)</w:t>
            </w:r>
          </w:p>
          <w:p w14:paraId="29E632A3" w14:textId="77777777" w:rsidR="00F65EA7" w:rsidRDefault="00F65EA7"/>
        </w:tc>
      </w:tr>
    </w:tbl>
    <w:p w14:paraId="329D25E6" w14:textId="77777777" w:rsidR="00BE4C01" w:rsidRDefault="00BE4C01"/>
    <w:p w14:paraId="6BBF4DE2" w14:textId="77777777" w:rsidR="00BE4C01" w:rsidRPr="00BE4C01" w:rsidRDefault="00BE4C01" w:rsidP="00BE4C01"/>
    <w:p w14:paraId="251BD954" w14:textId="77777777" w:rsidR="00BE4C01" w:rsidRPr="00BE4C01" w:rsidRDefault="00BE4C01" w:rsidP="00BE4C01">
      <w:pPr>
        <w:rPr>
          <w:i/>
          <w:iCs/>
        </w:rPr>
      </w:pPr>
      <w:r w:rsidRPr="00BE4C01">
        <w:rPr>
          <w:i/>
          <w:iCs/>
        </w:rPr>
        <w:t xml:space="preserve">Denne oversigt over ny finansiel regulering er udvalgt af Capital Law CPH ud fra regulering, der retter sig direkte til fondsmæglerselskaber og deres </w:t>
      </w:r>
      <w:proofErr w:type="spellStart"/>
      <w:r w:rsidRPr="00BE4C01">
        <w:rPr>
          <w:i/>
          <w:iCs/>
        </w:rPr>
        <w:t>holdingvirksomheder</w:t>
      </w:r>
      <w:proofErr w:type="spellEnd"/>
      <w:r w:rsidRPr="00BE4C01">
        <w:rPr>
          <w:i/>
          <w:iCs/>
        </w:rPr>
        <w:t xml:space="preserve">. Oversigten er en informationstjeneste og udgør ikke juridisk rådgivning, og Capital Law CPH påtager sig ikke ansvar for fejl eller mangler. </w:t>
      </w:r>
      <w:r w:rsidRPr="00BE4C01">
        <w:rPr>
          <w:noProof/>
        </w:rPr>
        <w:drawing>
          <wp:anchor distT="0" distB="0" distL="114300" distR="114300" simplePos="0" relativeHeight="251659264" behindDoc="0" locked="0" layoutInCell="1" allowOverlap="1" wp14:anchorId="7F4E4D6D" wp14:editId="79FD38D8">
            <wp:simplePos x="0" y="0"/>
            <wp:positionH relativeFrom="column">
              <wp:posOffset>-4098</wp:posOffset>
            </wp:positionH>
            <wp:positionV relativeFrom="paragraph">
              <wp:posOffset>168</wp:posOffset>
            </wp:positionV>
            <wp:extent cx="1401445" cy="1504950"/>
            <wp:effectExtent l="0" t="0" r="8255" b="0"/>
            <wp:wrapSquare wrapText="bothSides"/>
            <wp:docPr id="1686948146" name="Billede 1686948146" descr="Et billede, der indeholder person, mur,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ur, menneske, indendørs&#10;&#10;Automatisk genereret beskrivels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3285"/>
                    <a:stretch/>
                  </pic:blipFill>
                  <pic:spPr bwMode="auto">
                    <a:xfrm>
                      <a:off x="0" y="0"/>
                      <a:ext cx="1401445" cy="1504950"/>
                    </a:xfrm>
                    <a:prstGeom prst="rect">
                      <a:avLst/>
                    </a:prstGeom>
                    <a:noFill/>
                    <a:ln>
                      <a:noFill/>
                    </a:ln>
                    <a:extLst>
                      <a:ext uri="{53640926-AAD7-44D8-BBD7-CCE9431645EC}">
                        <a14:shadowObscured xmlns:a14="http://schemas.microsoft.com/office/drawing/2010/main"/>
                      </a:ext>
                    </a:extLst>
                  </pic:spPr>
                </pic:pic>
              </a:graphicData>
            </a:graphic>
          </wp:anchor>
        </w:drawing>
      </w:r>
    </w:p>
    <w:p w14:paraId="386D39AB" w14:textId="77777777" w:rsidR="00BE4C01" w:rsidRPr="00BE4C01" w:rsidRDefault="00BE4C01" w:rsidP="00BE4C01">
      <w:pPr>
        <w:rPr>
          <w:i/>
          <w:iCs/>
        </w:rPr>
      </w:pPr>
      <w:r w:rsidRPr="00BE4C01">
        <w:rPr>
          <w:i/>
          <w:iCs/>
        </w:rPr>
        <w:t xml:space="preserve">Oversigten er redigeret af advokat og partner Camilla Søborg, </w:t>
      </w:r>
      <w:hyperlink r:id="rId15" w:history="1">
        <w:r w:rsidRPr="00BE4C01">
          <w:rPr>
            <w:rStyle w:val="Hyperlink"/>
            <w:i/>
            <w:iCs/>
          </w:rPr>
          <w:t>cas@capitallawcph.dk</w:t>
        </w:r>
      </w:hyperlink>
      <w:r w:rsidRPr="00BE4C01">
        <w:rPr>
          <w:i/>
          <w:iCs/>
        </w:rPr>
        <w:t xml:space="preserve">, tlf. 53500914, som du kan rette henvendelse til, hvis du har kommentarer eller spørgsmål. </w:t>
      </w:r>
    </w:p>
    <w:p w14:paraId="514A19E8" w14:textId="77777777" w:rsidR="00BE4C01" w:rsidRPr="00BE4C01" w:rsidRDefault="00BE4C01" w:rsidP="00BE4C01">
      <w:pPr>
        <w:rPr>
          <w:i/>
          <w:iCs/>
        </w:rPr>
      </w:pPr>
    </w:p>
    <w:p w14:paraId="22D0A962" w14:textId="77777777" w:rsidR="00BE4C01" w:rsidRPr="00BE4C01" w:rsidRDefault="00BE4C01" w:rsidP="00BE4C01">
      <w:r w:rsidRPr="00BE4C01">
        <w:rPr>
          <w:noProof/>
        </w:rPr>
        <w:drawing>
          <wp:inline distT="0" distB="0" distL="0" distR="0" wp14:anchorId="027AA631" wp14:editId="364652AF">
            <wp:extent cx="1600200" cy="304800"/>
            <wp:effectExtent l="0" t="0" r="0" b="0"/>
            <wp:docPr id="1" name="Billede 1" descr="Et billede, der indeholder tekst, skilt&#10;&#10;Automatisk genereret beskrivelse"/>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ilt&#10;&#10;Automatisk genereret beskrivelse"/>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inline>
        </w:drawing>
      </w:r>
    </w:p>
    <w:p w14:paraId="39FECEBF" w14:textId="77777777" w:rsidR="00BE4C01" w:rsidRPr="00BE4C01" w:rsidRDefault="00BE4C01" w:rsidP="00BE4C01">
      <w:r w:rsidRPr="00BE4C01">
        <w:t>Capital Law CPH Advokater I/S,</w:t>
      </w:r>
      <w:r w:rsidRPr="00BE4C01">
        <w:rPr>
          <w:b/>
          <w:bCs/>
        </w:rPr>
        <w:t xml:space="preserve"> </w:t>
      </w:r>
      <w:r w:rsidRPr="00BE4C01">
        <w:t>CVR-nr. 42075000, Hellerupvej 5, DK-2900 Hellerup</w:t>
      </w:r>
    </w:p>
    <w:p w14:paraId="6AACDA41" w14:textId="77777777" w:rsidR="00BE4C01" w:rsidRDefault="00BE4C01"/>
    <w:sectPr w:rsidR="00BE4C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9335C"/>
    <w:multiLevelType w:val="multilevel"/>
    <w:tmpl w:val="DCAC5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63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01"/>
    <w:rsid w:val="00023A5D"/>
    <w:rsid w:val="0004343B"/>
    <w:rsid w:val="00113091"/>
    <w:rsid w:val="001163B2"/>
    <w:rsid w:val="00136D9B"/>
    <w:rsid w:val="001D2801"/>
    <w:rsid w:val="00265438"/>
    <w:rsid w:val="002814E9"/>
    <w:rsid w:val="002B6B87"/>
    <w:rsid w:val="00344CB3"/>
    <w:rsid w:val="003B7D51"/>
    <w:rsid w:val="0040092D"/>
    <w:rsid w:val="00427ED3"/>
    <w:rsid w:val="0045749D"/>
    <w:rsid w:val="004812AE"/>
    <w:rsid w:val="004D740B"/>
    <w:rsid w:val="005302C6"/>
    <w:rsid w:val="00533C93"/>
    <w:rsid w:val="005945AC"/>
    <w:rsid w:val="005C2158"/>
    <w:rsid w:val="006C0074"/>
    <w:rsid w:val="00722466"/>
    <w:rsid w:val="00820B66"/>
    <w:rsid w:val="008717FF"/>
    <w:rsid w:val="00931B7B"/>
    <w:rsid w:val="009911B9"/>
    <w:rsid w:val="009A0C7F"/>
    <w:rsid w:val="009F3AA2"/>
    <w:rsid w:val="00A97075"/>
    <w:rsid w:val="00AB59C4"/>
    <w:rsid w:val="00BC1F31"/>
    <w:rsid w:val="00BE4C01"/>
    <w:rsid w:val="00C21A39"/>
    <w:rsid w:val="00DA79C6"/>
    <w:rsid w:val="00DD48DD"/>
    <w:rsid w:val="00E77B99"/>
    <w:rsid w:val="00EC2B82"/>
    <w:rsid w:val="00EF067C"/>
    <w:rsid w:val="00F10BC1"/>
    <w:rsid w:val="00F65E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BD4"/>
  <w15:chartTrackingRefBased/>
  <w15:docId w15:val="{5B722B26-DC46-4DCD-8CA4-7CD3527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01"/>
    <w:rPr>
      <w:kern w:val="0"/>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4C01"/>
    <w:pPr>
      <w:ind w:left="720"/>
      <w:contextualSpacing/>
    </w:pPr>
  </w:style>
  <w:style w:type="character" w:styleId="Hyperlink">
    <w:name w:val="Hyperlink"/>
    <w:basedOn w:val="Standardskrifttypeiafsnit"/>
    <w:uiPriority w:val="99"/>
    <w:unhideWhenUsed/>
    <w:rsid w:val="00BE4C01"/>
    <w:rPr>
      <w:color w:val="0563C1" w:themeColor="hyperlink"/>
      <w:u w:val="single"/>
    </w:rPr>
  </w:style>
  <w:style w:type="character" w:styleId="Ulstomtale">
    <w:name w:val="Unresolved Mention"/>
    <w:basedOn w:val="Standardskrifttypeiafsnit"/>
    <w:uiPriority w:val="99"/>
    <w:semiHidden/>
    <w:unhideWhenUsed/>
    <w:rsid w:val="00BE4C01"/>
    <w:rPr>
      <w:color w:val="605E5C"/>
      <w:shd w:val="clear" w:color="auto" w:fill="E1DFDD"/>
    </w:rPr>
  </w:style>
  <w:style w:type="character" w:styleId="BesgtLink">
    <w:name w:val="FollowedHyperlink"/>
    <w:basedOn w:val="Standardskrifttypeiafsnit"/>
    <w:uiPriority w:val="99"/>
    <w:semiHidden/>
    <w:unhideWhenUsed/>
    <w:rsid w:val="00F65E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4/480" TargetMode="External"/><Relationship Id="rId13" Type="http://schemas.openxmlformats.org/officeDocument/2006/relationships/hyperlink" Target="https://www.esma.europa.eu/press-news/esma-news/esma-provides-guidance-firms-using-artificial-intelligence-investment-serv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inanstilsynet.dk/Tilsyn/Information-om-udvalgte-tilsynsomraader/Fintech/God_praksis_ai_2905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tsinformation.dk/eli/lta/2024/528" TargetMode="External"/><Relationship Id="rId5" Type="http://schemas.openxmlformats.org/officeDocument/2006/relationships/styles" Target="styles.xml"/><Relationship Id="rId15" Type="http://schemas.openxmlformats.org/officeDocument/2006/relationships/hyperlink" Target="mailto:cas@capitallawcph.dk" TargetMode="External"/><Relationship Id="rId10" Type="http://schemas.openxmlformats.org/officeDocument/2006/relationships/hyperlink" Target="https://www.retsinformation.dk/eli/lta/2024/553" TargetMode="External"/><Relationship Id="rId4" Type="http://schemas.openxmlformats.org/officeDocument/2006/relationships/numbering" Target="numbering.xml"/><Relationship Id="rId9" Type="http://schemas.openxmlformats.org/officeDocument/2006/relationships/hyperlink" Target="https://www.retsinformation.dk/eli/lta/2024/481" TargetMode="External"/><Relationship Id="rId1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7d2aa7-4697-4679-89a8-f7ed825373f6" xsi:nil="true"/>
    <lcf76f155ced4ddcb4097134ff3c332f xmlns="e1ad0fee-deb7-4d11-8342-64349c8749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167DF4E06F5744B57C6F8BE5F564CB" ma:contentTypeVersion="20" ma:contentTypeDescription="Opret et nyt dokument." ma:contentTypeScope="" ma:versionID="4c9fdd3f57380a66db669e25b35dd481">
  <xsd:schema xmlns:xsd="http://www.w3.org/2001/XMLSchema" xmlns:xs="http://www.w3.org/2001/XMLSchema" xmlns:p="http://schemas.microsoft.com/office/2006/metadata/properties" xmlns:ns2="e1ad0fee-deb7-4d11-8342-64349c8749bc" xmlns:ns3="547d2aa7-4697-4679-89a8-f7ed825373f6" targetNamespace="http://schemas.microsoft.com/office/2006/metadata/properties" ma:root="true" ma:fieldsID="0701e95dae96647187809806b243026f" ns2:_="" ns3:_="">
    <xsd:import namespace="e1ad0fee-deb7-4d11-8342-64349c8749bc"/>
    <xsd:import namespace="547d2aa7-4697-4679-89a8-f7ed82537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0fee-deb7-4d11-8342-64349c87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d399327e-dec2-4cfd-b9e4-ed826a3a2e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aa7-4697-4679-89a8-f7ed825373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547f4b9-575f-4bb9-9f4d-53a5a71db9dd}" ma:internalName="TaxCatchAll" ma:showField="CatchAllData" ma:web="547d2aa7-4697-4679-89a8-f7ed82537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AF082-B58A-4F52-A56E-EC4AEF91AEFB}">
  <ds:schemaRefs>
    <ds:schemaRef ds:uri="http://schemas.microsoft.com/office/2006/metadata/properties"/>
    <ds:schemaRef ds:uri="http://schemas.microsoft.com/office/infopath/2007/PartnerControls"/>
    <ds:schemaRef ds:uri="547d2aa7-4697-4679-89a8-f7ed825373f6"/>
    <ds:schemaRef ds:uri="e1ad0fee-deb7-4d11-8342-64349c8749bc"/>
  </ds:schemaRefs>
</ds:datastoreItem>
</file>

<file path=customXml/itemProps2.xml><?xml version="1.0" encoding="utf-8"?>
<ds:datastoreItem xmlns:ds="http://schemas.openxmlformats.org/officeDocument/2006/customXml" ds:itemID="{B1DFC98C-0845-4A94-8D81-1ABEEB67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0fee-deb7-4d11-8342-64349c8749bc"/>
    <ds:schemaRef ds:uri="547d2aa7-4697-4679-89a8-f7ed8253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4AD3D-F638-4681-B165-D4FC1736A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856</Words>
  <Characters>5228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Søborg</dc:creator>
  <cp:keywords/>
  <dc:description/>
  <cp:lastModifiedBy>Camilla Søborg</cp:lastModifiedBy>
  <cp:revision>6</cp:revision>
  <cp:lastPrinted>2024-06-04T14:28:00Z</cp:lastPrinted>
  <dcterms:created xsi:type="dcterms:W3CDTF">2024-06-04T10:44:00Z</dcterms:created>
  <dcterms:modified xsi:type="dcterms:W3CDTF">2024-06-05T12:16:00Z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0x0101003E167DF4E06F5744B57C6F8BE5F564CB</vt:lpwstr>
  </property>
  <property fmtid="{D5CDD505-2E9C-101B-9397-08002B2CF9AE}" pid="3" name="MediaServiceImageTags">
    <vt:lpwstr/>
  </property>
</Properties>
</file>