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10054731" w:rsidR="00BE4C01" w:rsidRDefault="00BE4C01" w:rsidP="00BE4C01">
      <w:pPr>
        <w:jc w:val="both"/>
      </w:pPr>
      <w:r>
        <w:t>O</w:t>
      </w:r>
      <w:r w:rsidRPr="005A5267">
        <w:t xml:space="preserve">pdatering for </w:t>
      </w:r>
      <w:r w:rsidR="00576E18">
        <w:t>juni</w:t>
      </w:r>
      <w:r w:rsidRPr="005A5267">
        <w:t xml:space="preserve"> </w:t>
      </w:r>
      <w:r>
        <w:t xml:space="preserve">måned </w:t>
      </w:r>
      <w:r w:rsidRPr="005A5267">
        <w:t>202</w:t>
      </w:r>
      <w:r w:rsidR="005C2158">
        <w:t>4</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2299EB68" w14:textId="77777777" w:rsidR="00BE4C01" w:rsidRDefault="00BE4C01"/>
          <w:p w14:paraId="4C8B3B1E" w14:textId="3E5B16CA" w:rsidR="002812FA" w:rsidRDefault="007047B7">
            <w:r>
              <w:t xml:space="preserve">Uddybning af krav til indberetninger til Erhvervsstyrelsen: </w:t>
            </w:r>
            <w:hyperlink w:anchor="A" w:history="1">
              <w:r w:rsidR="006B346B" w:rsidRPr="006B346B">
                <w:rPr>
                  <w:rStyle w:val="Hyperlink"/>
                </w:rPr>
                <w:t>link</w:t>
              </w:r>
            </w:hyperlink>
          </w:p>
          <w:p w14:paraId="00BF9280" w14:textId="77777777" w:rsidR="006B346B" w:rsidRDefault="006B346B"/>
          <w:p w14:paraId="26211352" w14:textId="23600ACB" w:rsidR="006B346B" w:rsidRDefault="009F03E9">
            <w:pPr>
              <w:rPr>
                <w:rStyle w:val="Hyperlink"/>
              </w:rPr>
            </w:pPr>
            <w:r>
              <w:t xml:space="preserve">Ændring af investorbeskyttelsesbekendtgørelsen i forhold til central investorinformation m.v.: </w:t>
            </w:r>
            <w:hyperlink w:anchor="B" w:history="1">
              <w:r w:rsidR="005249FF" w:rsidRPr="005249FF">
                <w:rPr>
                  <w:rStyle w:val="Hyperlink"/>
                </w:rPr>
                <w:t>link</w:t>
              </w:r>
            </w:hyperlink>
          </w:p>
          <w:p w14:paraId="0A165CFF" w14:textId="77777777" w:rsidR="001F41D7" w:rsidRDefault="001F41D7">
            <w:pPr>
              <w:rPr>
                <w:rStyle w:val="Hyperlink"/>
              </w:rPr>
            </w:pPr>
          </w:p>
          <w:p w14:paraId="3D54E6C8" w14:textId="30E43198" w:rsidR="008E4AC0" w:rsidRPr="006A31AD" w:rsidRDefault="006A31AD">
            <w:pPr>
              <w:rPr>
                <w:rStyle w:val="Hyperlink"/>
                <w:color w:val="auto"/>
                <w:u w:val="none"/>
              </w:rPr>
            </w:pPr>
            <w:r>
              <w:rPr>
                <w:rStyle w:val="Hyperlink"/>
                <w:color w:val="auto"/>
                <w:u w:val="none"/>
              </w:rPr>
              <w:t xml:space="preserve">Ny bekendtgørelse om anmeldelse m.v. til Erhvervsstyrelsen: </w:t>
            </w:r>
            <w:hyperlink w:anchor="B1" w:history="1">
              <w:r w:rsidR="000C7619" w:rsidRPr="000C7619">
                <w:rPr>
                  <w:rStyle w:val="Hyperlink"/>
                </w:rPr>
                <w:t>link</w:t>
              </w:r>
            </w:hyperlink>
          </w:p>
          <w:p w14:paraId="27C64E46" w14:textId="77777777" w:rsidR="008E4AC0" w:rsidRDefault="008E4AC0">
            <w:pPr>
              <w:rPr>
                <w:rStyle w:val="Hyperlink"/>
                <w:color w:val="auto"/>
                <w:u w:val="none"/>
              </w:rPr>
            </w:pPr>
          </w:p>
          <w:p w14:paraId="6D2904F0" w14:textId="550BCD4E" w:rsidR="007C0D88" w:rsidRDefault="007C0D88">
            <w:pPr>
              <w:rPr>
                <w:rStyle w:val="Hyperlink"/>
                <w:color w:val="auto"/>
                <w:u w:val="none"/>
              </w:rPr>
            </w:pPr>
            <w:r>
              <w:rPr>
                <w:rStyle w:val="Hyperlink"/>
                <w:color w:val="auto"/>
                <w:u w:val="none"/>
              </w:rPr>
              <w:t xml:space="preserve">Ændring af ledelsesbekendtgørelsen: </w:t>
            </w:r>
            <w:hyperlink w:anchor="B2" w:history="1">
              <w:r w:rsidRPr="007C0D88">
                <w:rPr>
                  <w:rStyle w:val="Hyperlink"/>
                </w:rPr>
                <w:t>link</w:t>
              </w:r>
            </w:hyperlink>
          </w:p>
          <w:p w14:paraId="1D0F8104" w14:textId="77777777" w:rsidR="007C0D88" w:rsidRPr="006A31AD" w:rsidRDefault="007C0D88">
            <w:pPr>
              <w:rPr>
                <w:rStyle w:val="Hyperlink"/>
                <w:color w:val="auto"/>
                <w:u w:val="none"/>
              </w:rPr>
            </w:pPr>
          </w:p>
          <w:p w14:paraId="55645229" w14:textId="69DCA752" w:rsidR="00F93A6A" w:rsidRPr="0062207B" w:rsidRDefault="0062207B">
            <w:pPr>
              <w:rPr>
                <w:rStyle w:val="Hyperlink"/>
                <w:color w:val="auto"/>
                <w:u w:val="none"/>
              </w:rPr>
            </w:pPr>
            <w:r w:rsidRPr="0062207B">
              <w:rPr>
                <w:rStyle w:val="Hyperlink"/>
                <w:color w:val="auto"/>
                <w:u w:val="none"/>
              </w:rPr>
              <w:t>Opdateret</w:t>
            </w:r>
            <w:r>
              <w:rPr>
                <w:rStyle w:val="Hyperlink"/>
                <w:color w:val="auto"/>
                <w:u w:val="none"/>
              </w:rPr>
              <w:t xml:space="preserve"> vejledning om </w:t>
            </w:r>
            <w:r w:rsidR="00FC11E9">
              <w:rPr>
                <w:rStyle w:val="Hyperlink"/>
                <w:color w:val="auto"/>
                <w:u w:val="none"/>
              </w:rPr>
              <w:t xml:space="preserve">forenklede genopretningsplaner: </w:t>
            </w:r>
            <w:hyperlink w:anchor="BB" w:history="1">
              <w:r w:rsidR="00FC11E9" w:rsidRPr="00FC11E9">
                <w:rPr>
                  <w:rStyle w:val="Hyperlink"/>
                </w:rPr>
                <w:t>link</w:t>
              </w:r>
            </w:hyperlink>
            <w:r>
              <w:rPr>
                <w:rStyle w:val="Hyperlink"/>
                <w:color w:val="auto"/>
                <w:u w:val="none"/>
              </w:rPr>
              <w:t xml:space="preserve"> </w:t>
            </w:r>
          </w:p>
          <w:p w14:paraId="08EC024A" w14:textId="77777777" w:rsidR="005249FF" w:rsidRDefault="005249FF"/>
          <w:p w14:paraId="0A1B0F7E" w14:textId="39AF53DC" w:rsidR="007C0D88" w:rsidRDefault="001C0C07">
            <w:r>
              <w:t xml:space="preserve">Opdateret vejledning om indberetning af årsrapporter m.v. til Erhvervsstyrelsen: </w:t>
            </w:r>
            <w:hyperlink w:anchor="BB1" w:history="1">
              <w:r w:rsidRPr="001C0C07">
                <w:rPr>
                  <w:rStyle w:val="Hyperlink"/>
                </w:rPr>
                <w:t>link</w:t>
              </w:r>
            </w:hyperlink>
          </w:p>
          <w:p w14:paraId="062DE880" w14:textId="77777777" w:rsidR="007C0D88" w:rsidRDefault="007C0D88"/>
          <w:p w14:paraId="38D00018" w14:textId="6A3362D2" w:rsidR="005249FF" w:rsidRDefault="00A6098E">
            <w:r>
              <w:t>AMLA etableret som n</w:t>
            </w:r>
            <w:r w:rsidR="008D253F">
              <w:t>y overordnet europæisk hvidvaskmyndighed:</w:t>
            </w:r>
            <w:r w:rsidR="000B5508">
              <w:t xml:space="preserve"> </w:t>
            </w:r>
            <w:hyperlink w:anchor="C" w:history="1">
              <w:r w:rsidR="000B5508" w:rsidRPr="000B5508">
                <w:rPr>
                  <w:rStyle w:val="Hyperlink"/>
                </w:rPr>
                <w:t>link</w:t>
              </w:r>
            </w:hyperlink>
          </w:p>
          <w:p w14:paraId="10151B8D" w14:textId="77777777" w:rsidR="000B5508" w:rsidRDefault="000B5508"/>
          <w:p w14:paraId="55374989" w14:textId="485F9286" w:rsidR="000B5508" w:rsidRDefault="00494562">
            <w:r>
              <w:t xml:space="preserve">Ny </w:t>
            </w:r>
            <w:r w:rsidR="00421AE8">
              <w:t>EU-</w:t>
            </w:r>
            <w:r>
              <w:t>hvidvaskforordning</w:t>
            </w:r>
            <w:r w:rsidR="00143ED5">
              <w:t xml:space="preserve">, som </w:t>
            </w:r>
            <w:r w:rsidR="005A344B">
              <w:t>delvis vil afløse hvidvaskloven</w:t>
            </w:r>
            <w:r w:rsidR="00143ED5">
              <w:t>,</w:t>
            </w:r>
            <w:r>
              <w:t xml:space="preserve"> finder anvendelse fra 2027:</w:t>
            </w:r>
            <w:r w:rsidR="00996D6C">
              <w:t xml:space="preserve"> </w:t>
            </w:r>
            <w:hyperlink w:anchor="D" w:history="1">
              <w:r w:rsidR="00996D6C" w:rsidRPr="00996D6C">
                <w:rPr>
                  <w:rStyle w:val="Hyperlink"/>
                </w:rPr>
                <w:t>link</w:t>
              </w:r>
            </w:hyperlink>
          </w:p>
          <w:p w14:paraId="6ADCF0FD" w14:textId="77777777" w:rsidR="00234740" w:rsidRDefault="00234740"/>
          <w:p w14:paraId="25A2A3EE" w14:textId="75C30268" w:rsidR="002B6986" w:rsidRDefault="002B6986">
            <w:r>
              <w:t xml:space="preserve">Ny niveau 2-forordning om konsolideret tilsyn under IFR: </w:t>
            </w:r>
            <w:hyperlink w:anchor="E" w:history="1">
              <w:r w:rsidRPr="002B6986">
                <w:rPr>
                  <w:rStyle w:val="Hyperlink"/>
                </w:rPr>
                <w:t>link</w:t>
              </w:r>
            </w:hyperlink>
          </w:p>
          <w:p w14:paraId="6A75164D" w14:textId="77777777" w:rsidR="002812FA" w:rsidRDefault="002812FA" w:rsidP="002E50FF"/>
          <w:p w14:paraId="08107EC0" w14:textId="77AB50AE" w:rsidR="003005CC" w:rsidRDefault="001A2911" w:rsidP="002E50FF">
            <w:r>
              <w:t>Tre nye niveau 2-forordninger under DORA</w:t>
            </w:r>
            <w:r w:rsidR="00E22EB8">
              <w:t xml:space="preserve">: </w:t>
            </w:r>
            <w:hyperlink w:anchor="F" w:history="1">
              <w:r w:rsidR="00E22EB8" w:rsidRPr="00E22EB8">
                <w:rPr>
                  <w:rStyle w:val="Hyperlink"/>
                </w:rPr>
                <w:t>link</w:t>
              </w:r>
            </w:hyperlink>
            <w:r w:rsidR="00B12A75">
              <w:t xml:space="preserve">, </w:t>
            </w:r>
            <w:hyperlink w:anchor="G" w:history="1">
              <w:r w:rsidR="00B12A75" w:rsidRPr="00B12A75">
                <w:rPr>
                  <w:rStyle w:val="Hyperlink"/>
                </w:rPr>
                <w:t>link</w:t>
              </w:r>
            </w:hyperlink>
            <w:r w:rsidR="00B12A75">
              <w:t xml:space="preserve"> og </w:t>
            </w:r>
            <w:hyperlink w:anchor="H" w:history="1">
              <w:r w:rsidR="00B12A75" w:rsidRPr="00B12A75">
                <w:rPr>
                  <w:rStyle w:val="Hyperlink"/>
                </w:rPr>
                <w:t>link</w:t>
              </w:r>
            </w:hyperlink>
          </w:p>
          <w:p w14:paraId="774E809C" w14:textId="77777777" w:rsidR="003005CC" w:rsidRDefault="003005CC" w:rsidP="002E50FF"/>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452FE16F" w14:textId="77777777" w:rsidR="00BE4C01" w:rsidRDefault="00BE4C01"/>
          <w:p w14:paraId="5DD4E9B9" w14:textId="7B3F52B6" w:rsidR="002812FA" w:rsidRDefault="002812FA">
            <w:r>
              <w:t>(Intet nyt)</w:t>
            </w:r>
          </w:p>
          <w:p w14:paraId="1136A53C" w14:textId="77777777" w:rsidR="002812FA" w:rsidRDefault="002812FA"/>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11A18E2B" w14:textId="77777777" w:rsidR="00D75FC1" w:rsidRDefault="00D75FC1"/>
          <w:p w14:paraId="0E344E72" w14:textId="77777777" w:rsidR="00995388" w:rsidRPr="00995388" w:rsidRDefault="00995388" w:rsidP="00995388">
            <w:pPr>
              <w:rPr>
                <w:b/>
                <w:bCs/>
              </w:rPr>
            </w:pPr>
            <w:bookmarkStart w:id="0" w:name="A"/>
            <w:r w:rsidRPr="00995388">
              <w:rPr>
                <w:b/>
                <w:bCs/>
              </w:rPr>
              <w:t>Bekendtgørelse om indberetning til og offentliggørelse af årsrapporter m.v. i Erhvervsstyrelsen for virksomheder omfattet af regnskabsregler fastsat ved eller i henhold til lovgivningen for finansielle virksomheder m.v.</w:t>
            </w:r>
          </w:p>
          <w:bookmarkEnd w:id="0"/>
          <w:p w14:paraId="7499A201" w14:textId="77777777" w:rsidR="00AF7132" w:rsidRDefault="00AF7132" w:rsidP="00995388"/>
          <w:p w14:paraId="569A2B09" w14:textId="6CBC5125" w:rsidR="00995388" w:rsidRPr="00995388" w:rsidRDefault="00995388" w:rsidP="00995388">
            <w:r w:rsidRPr="00995388">
              <w:t>Bekendtgørelsen indeholder</w:t>
            </w:r>
            <w:r w:rsidR="00C22F65">
              <w:t xml:space="preserve"> bl.a.</w:t>
            </w:r>
            <w:r w:rsidRPr="00995388">
              <w:t xml:space="preserve"> præciseringer af kravene til måde</w:t>
            </w:r>
            <w:r w:rsidR="0043158E">
              <w:t>n</w:t>
            </w:r>
            <w:r w:rsidRPr="00995388">
              <w:t xml:space="preserve"> og formater</w:t>
            </w:r>
            <w:r w:rsidR="0043158E">
              <w:t>ne</w:t>
            </w:r>
            <w:r w:rsidRPr="00995388">
              <w:t xml:space="preserve"> for indberetninger til Erhvervsstyrelsen. Bekendtgørelsen afløser den </w:t>
            </w:r>
            <w:r w:rsidR="00D5255F">
              <w:t xml:space="preserve">hidtidige </w:t>
            </w:r>
            <w:r w:rsidRPr="00995388">
              <w:t xml:space="preserve">bekendtgørelse </w:t>
            </w:r>
            <w:r w:rsidR="002E4497">
              <w:t xml:space="preserve">pr. </w:t>
            </w:r>
            <w:r w:rsidRPr="00995388">
              <w:t xml:space="preserve">1. juli 2024. Visse regler anvendes dog </w:t>
            </w:r>
            <w:r w:rsidR="003D6E52">
              <w:t xml:space="preserve">først </w:t>
            </w:r>
            <w:r w:rsidRPr="00995388">
              <w:t>fra den 1. januar 2025 for regnskabsår, som begynder 1. januar 2024 eller senere.</w:t>
            </w:r>
          </w:p>
          <w:p w14:paraId="3A9F22CC" w14:textId="77777777" w:rsidR="00AF7132" w:rsidRDefault="00AF7132" w:rsidP="00995388"/>
          <w:p w14:paraId="7371D51A" w14:textId="44E9062F" w:rsidR="00995388" w:rsidRPr="00995388" w:rsidRDefault="00995388" w:rsidP="00995388">
            <w:r w:rsidRPr="00995388">
              <w:t xml:space="preserve">(Offentliggjort den 19. juni 2024, </w:t>
            </w:r>
            <w:hyperlink r:id="rId8" w:history="1">
              <w:r w:rsidRPr="00995388">
                <w:rPr>
                  <w:rStyle w:val="Hyperlink"/>
                </w:rPr>
                <w:t>link</w:t>
              </w:r>
            </w:hyperlink>
            <w:r w:rsidRPr="00995388">
              <w:t>)</w:t>
            </w:r>
          </w:p>
          <w:p w14:paraId="755FE4C6" w14:textId="77777777" w:rsidR="00F216EE" w:rsidRDefault="00F216EE"/>
          <w:p w14:paraId="21B76010" w14:textId="77777777" w:rsidR="00F05726" w:rsidRDefault="00F05726"/>
          <w:p w14:paraId="53F26655" w14:textId="77777777" w:rsidR="00B64F85" w:rsidRPr="00B64F85" w:rsidRDefault="00B64F85" w:rsidP="00B64F85">
            <w:pPr>
              <w:rPr>
                <w:b/>
                <w:bCs/>
              </w:rPr>
            </w:pPr>
            <w:bookmarkStart w:id="1" w:name="B"/>
            <w:r w:rsidRPr="00B64F85">
              <w:rPr>
                <w:b/>
                <w:bCs/>
              </w:rPr>
              <w:t>Bekendtgørelse nr. 760 af 14. juni 2024 om investorbeskyttelse ved værdipapirhandel</w:t>
            </w:r>
          </w:p>
          <w:bookmarkEnd w:id="1"/>
          <w:p w14:paraId="02C13071" w14:textId="77777777" w:rsidR="00AA7E9B" w:rsidRDefault="00AA7E9B" w:rsidP="00B64F85"/>
          <w:p w14:paraId="154CAC83" w14:textId="03FF5988" w:rsidR="00B64F85" w:rsidRPr="00B64F85" w:rsidRDefault="00B64F85" w:rsidP="00B64F85">
            <w:r w:rsidRPr="00B64F85">
              <w:lastRenderedPageBreak/>
              <w:t xml:space="preserve">Den </w:t>
            </w:r>
            <w:r w:rsidR="006D75B4">
              <w:t>hidtidige</w:t>
            </w:r>
            <w:r w:rsidRPr="00B64F85">
              <w:t xml:space="preserve"> forpligtelse om central investorinformation m.v. </w:t>
            </w:r>
            <w:r w:rsidR="006D75B4">
              <w:t xml:space="preserve">fastsat i § 9 </w:t>
            </w:r>
            <w:r w:rsidRPr="00B64F85">
              <w:t>er udgået pga. overlap med forpligtelser i PRIIP-forordningen og i CBR-forordningen. Derudover ændres bestemmelser</w:t>
            </w:r>
            <w:r w:rsidR="006D75B4">
              <w:t>ne</w:t>
            </w:r>
            <w:r w:rsidRPr="00B64F85">
              <w:t xml:space="preserve"> om nedskrivningsegnede passiver, således at kravene lempes for særlige bail-in instrumenter.</w:t>
            </w:r>
          </w:p>
          <w:p w14:paraId="3982EB11" w14:textId="683D78A4" w:rsidR="00B64F85" w:rsidRPr="00B64F85" w:rsidRDefault="00B64F85" w:rsidP="00B64F85">
            <w:r w:rsidRPr="00B64F85">
              <w:t xml:space="preserve">Bekendtgørelsen </w:t>
            </w:r>
            <w:r w:rsidR="00775CB0">
              <w:t>afløser den hidtidige bekendtgørelse</w:t>
            </w:r>
            <w:r w:rsidRPr="00B64F85">
              <w:t xml:space="preserve"> </w:t>
            </w:r>
            <w:r w:rsidR="007D33AE">
              <w:t>pr.</w:t>
            </w:r>
            <w:r w:rsidRPr="00B64F85">
              <w:t xml:space="preserve"> 1. juli 2024. </w:t>
            </w:r>
          </w:p>
          <w:p w14:paraId="4787E3F6" w14:textId="77777777" w:rsidR="00995388" w:rsidRDefault="00995388"/>
          <w:p w14:paraId="3A1E2A2A" w14:textId="05C796F7" w:rsidR="00047EF0" w:rsidRDefault="00047EF0">
            <w:r>
              <w:t xml:space="preserve">(Offentliggjort den 22. juni 2024, </w:t>
            </w:r>
            <w:hyperlink r:id="rId9" w:history="1">
              <w:r w:rsidRPr="00047EF0">
                <w:rPr>
                  <w:rStyle w:val="Hyperlink"/>
                </w:rPr>
                <w:t>link</w:t>
              </w:r>
            </w:hyperlink>
            <w:r>
              <w:t>)</w:t>
            </w:r>
          </w:p>
          <w:p w14:paraId="2F645833" w14:textId="77777777" w:rsidR="001D34C0" w:rsidRDefault="001D34C0"/>
          <w:p w14:paraId="2F348C6F" w14:textId="385BC503" w:rsidR="00882237" w:rsidRDefault="00882237" w:rsidP="00882237"/>
          <w:p w14:paraId="5825748F" w14:textId="0FA07365" w:rsidR="00CA5C5F" w:rsidRPr="0064639C" w:rsidRDefault="00535293" w:rsidP="00882237">
            <w:pPr>
              <w:rPr>
                <w:b/>
                <w:bCs/>
              </w:rPr>
            </w:pPr>
            <w:bookmarkStart w:id="2" w:name="B1"/>
            <w:r w:rsidRPr="0064639C">
              <w:rPr>
                <w:b/>
                <w:bCs/>
              </w:rPr>
              <w:t>Bekendtgørelse nr</w:t>
            </w:r>
            <w:r w:rsidRPr="0064639C">
              <w:rPr>
                <w:b/>
                <w:bCs/>
              </w:rPr>
              <w:t>.</w:t>
            </w:r>
            <w:r w:rsidRPr="0064639C">
              <w:rPr>
                <w:b/>
                <w:bCs/>
              </w:rPr>
              <w:t xml:space="preserve"> 865 af 23</w:t>
            </w:r>
            <w:r w:rsidRPr="0064639C">
              <w:rPr>
                <w:b/>
                <w:bCs/>
              </w:rPr>
              <w:t xml:space="preserve">. juni </w:t>
            </w:r>
            <w:r w:rsidRPr="0064639C">
              <w:rPr>
                <w:b/>
                <w:bCs/>
              </w:rPr>
              <w:t>2024</w:t>
            </w:r>
            <w:r w:rsidRPr="0064639C">
              <w:rPr>
                <w:b/>
                <w:bCs/>
              </w:rPr>
              <w:t xml:space="preserve"> </w:t>
            </w:r>
            <w:r w:rsidRPr="0064639C">
              <w:rPr>
                <w:b/>
                <w:bCs/>
              </w:rPr>
              <w:t>om anmeldelse, registrering, gebyr samt offentliggørelse m.v. i Erhvervsstyrelsen</w:t>
            </w:r>
          </w:p>
          <w:bookmarkEnd w:id="2"/>
          <w:p w14:paraId="28D29278" w14:textId="77777777" w:rsidR="00743F44" w:rsidRDefault="00743F44" w:rsidP="00882237"/>
          <w:p w14:paraId="7880C8D7" w14:textId="0E81A0C9" w:rsidR="00743F44" w:rsidRDefault="00FF0853" w:rsidP="00882237">
            <w:r>
              <w:t xml:space="preserve">Blandt en række ændringer </w:t>
            </w:r>
            <w:r w:rsidR="00826DB1">
              <w:t xml:space="preserve">kan nævnes præciseringer af krav til indberetningsmåden. </w:t>
            </w:r>
            <w:r w:rsidR="00743F44" w:rsidRPr="00743F44">
              <w:t>Bekendtgørelsen træder i kraft den 1. juli 2024.</w:t>
            </w:r>
          </w:p>
          <w:p w14:paraId="4756A18C" w14:textId="77777777" w:rsidR="00743F44" w:rsidRDefault="00743F44" w:rsidP="00882237"/>
          <w:p w14:paraId="111BE51A" w14:textId="7E174EC9" w:rsidR="00743F44" w:rsidRDefault="00965FBD" w:rsidP="00882237">
            <w:r>
              <w:t xml:space="preserve">(Offentliggjort den 29. juni 2024, </w:t>
            </w:r>
            <w:hyperlink r:id="rId10" w:history="1">
              <w:r w:rsidRPr="00965FBD">
                <w:rPr>
                  <w:rStyle w:val="Hyperlink"/>
                </w:rPr>
                <w:t>link</w:t>
              </w:r>
            </w:hyperlink>
            <w:r>
              <w:t>)</w:t>
            </w:r>
          </w:p>
          <w:p w14:paraId="032B0352" w14:textId="77777777" w:rsidR="00535293" w:rsidRDefault="00535293" w:rsidP="00882237"/>
          <w:p w14:paraId="31BABB1A" w14:textId="77777777" w:rsidR="00535293" w:rsidRDefault="00535293" w:rsidP="00882237"/>
          <w:p w14:paraId="6E030F87" w14:textId="69D1F995" w:rsidR="005A5D6A" w:rsidRPr="00CB6B85" w:rsidRDefault="005A5D6A" w:rsidP="00882237">
            <w:pPr>
              <w:rPr>
                <w:b/>
                <w:bCs/>
              </w:rPr>
            </w:pPr>
            <w:bookmarkStart w:id="3" w:name="B2"/>
            <w:r w:rsidRPr="00CB6B85">
              <w:rPr>
                <w:b/>
                <w:bCs/>
              </w:rPr>
              <w:t xml:space="preserve">Bekendtgørelse </w:t>
            </w:r>
            <w:r w:rsidR="007D1756" w:rsidRPr="00CB6B85">
              <w:rPr>
                <w:b/>
                <w:bCs/>
              </w:rPr>
              <w:t>nr</w:t>
            </w:r>
            <w:r w:rsidR="007D1756" w:rsidRPr="00CB6B85">
              <w:rPr>
                <w:b/>
                <w:bCs/>
              </w:rPr>
              <w:t>.</w:t>
            </w:r>
            <w:r w:rsidR="007D1756" w:rsidRPr="00CB6B85">
              <w:rPr>
                <w:b/>
                <w:bCs/>
              </w:rPr>
              <w:t xml:space="preserve"> 854 af 25</w:t>
            </w:r>
            <w:r w:rsidR="007D1756" w:rsidRPr="00CB6B85">
              <w:rPr>
                <w:b/>
                <w:bCs/>
              </w:rPr>
              <w:t xml:space="preserve">. juni </w:t>
            </w:r>
            <w:r w:rsidR="007D1756" w:rsidRPr="00CB6B85">
              <w:rPr>
                <w:b/>
                <w:bCs/>
              </w:rPr>
              <w:t>2024</w:t>
            </w:r>
            <w:r w:rsidR="007D1756" w:rsidRPr="00CB6B85">
              <w:rPr>
                <w:b/>
                <w:bCs/>
              </w:rPr>
              <w:t xml:space="preserve"> </w:t>
            </w:r>
            <w:r w:rsidRPr="00CB6B85">
              <w:rPr>
                <w:b/>
                <w:bCs/>
              </w:rPr>
              <w:t>om ændring af bekendtgørelse om ledelse og styring af pengeinstitutter m.fl.</w:t>
            </w:r>
          </w:p>
          <w:bookmarkEnd w:id="3"/>
          <w:p w14:paraId="52095A2E" w14:textId="77777777" w:rsidR="00AC2AF8" w:rsidRDefault="00AC2AF8" w:rsidP="00B176B4"/>
          <w:p w14:paraId="26F3217F" w14:textId="56530FB0" w:rsidR="00B176B4" w:rsidRPr="00B176B4" w:rsidRDefault="00155050" w:rsidP="00B176B4">
            <w:r>
              <w:t>Ændringsbekendtgørelsen</w:t>
            </w:r>
            <w:r w:rsidR="00A702E5">
              <w:t xml:space="preserve">s justeringer af ledelsesbekendtgørelsen </w:t>
            </w:r>
            <w:r w:rsidR="00B176B4" w:rsidRPr="00B176B4">
              <w:t xml:space="preserve">skal lette arbejdet for institutternes bestyrelser og præcisere visse krav i ledelsesbekendtgørelsens bilag. </w:t>
            </w:r>
            <w:r w:rsidR="00493D16">
              <w:t>Æ</w:t>
            </w:r>
            <w:r w:rsidR="00B176B4" w:rsidRPr="00B176B4">
              <w:t>ndringer</w:t>
            </w:r>
            <w:r w:rsidR="00493D16">
              <w:t>ne</w:t>
            </w:r>
            <w:r w:rsidR="00B176B4" w:rsidRPr="00B176B4">
              <w:t xml:space="preserve"> udspringer af drøftelser mellem Finanstilsynet og </w:t>
            </w:r>
            <w:r w:rsidR="000A3963">
              <w:t>forskellige brancheforeninger</w:t>
            </w:r>
            <w:r w:rsidR="00B176B4" w:rsidRPr="00B176B4">
              <w:t>.</w:t>
            </w:r>
          </w:p>
          <w:p w14:paraId="616AB29D" w14:textId="72EC0722" w:rsidR="005A5D6A" w:rsidRDefault="004E2310" w:rsidP="00882237">
            <w:r>
              <w:t xml:space="preserve">Ændringsbekendtgørelsen træder i udgangspunktet i kraft den 1. juli 2024. </w:t>
            </w:r>
          </w:p>
          <w:p w14:paraId="01596DCB" w14:textId="77777777" w:rsidR="00F35A89" w:rsidRDefault="00F35A89" w:rsidP="00882237"/>
          <w:p w14:paraId="4A5959BD" w14:textId="12E81F39" w:rsidR="00F35A89" w:rsidRDefault="00F35A89" w:rsidP="00882237">
            <w:r w:rsidRPr="00F35A89">
              <w:t>(Offentliggjort den 2</w:t>
            </w:r>
            <w:r w:rsidR="00E31502">
              <w:t>8</w:t>
            </w:r>
            <w:r w:rsidRPr="00F35A89">
              <w:t>. juni 2024</w:t>
            </w:r>
            <w:r w:rsidR="00E31502">
              <w:t xml:space="preserve">, </w:t>
            </w:r>
            <w:hyperlink r:id="rId11" w:history="1">
              <w:r w:rsidR="00E31502" w:rsidRPr="00E31502">
                <w:rPr>
                  <w:rStyle w:val="Hyperlink"/>
                </w:rPr>
                <w:t>link</w:t>
              </w:r>
            </w:hyperlink>
          </w:p>
          <w:p w14:paraId="6456B71F" w14:textId="77777777" w:rsidR="005A5D6A" w:rsidRDefault="005A5D6A" w:rsidP="00882237"/>
          <w:p w14:paraId="14AC703A" w14:textId="77777777" w:rsidR="00236B9B" w:rsidRDefault="00236B9B" w:rsidP="00882237"/>
          <w:p w14:paraId="6EFC0614" w14:textId="188F4FD9" w:rsidR="00882237" w:rsidRPr="00854F9E" w:rsidRDefault="00882237" w:rsidP="00882237">
            <w:pPr>
              <w:rPr>
                <w:b/>
                <w:bCs/>
              </w:rPr>
            </w:pPr>
            <w:bookmarkStart w:id="4" w:name="BB"/>
            <w:r w:rsidRPr="00854F9E">
              <w:rPr>
                <w:b/>
                <w:bCs/>
              </w:rPr>
              <w:t xml:space="preserve">Vejledning </w:t>
            </w:r>
            <w:r w:rsidR="00854F9E" w:rsidRPr="00854F9E">
              <w:rPr>
                <w:b/>
                <w:bCs/>
              </w:rPr>
              <w:t xml:space="preserve">nr. 9460 af 26. juni 2024 </w:t>
            </w:r>
            <w:r w:rsidRPr="00854F9E">
              <w:rPr>
                <w:b/>
                <w:bCs/>
              </w:rPr>
              <w:t>om genopretningsplaner for pengeinstitutter, realkreditinstitutter, et skibsfinansieringsinstitut og fondsmæglerselskaber</w:t>
            </w:r>
          </w:p>
          <w:bookmarkEnd w:id="4"/>
          <w:p w14:paraId="3A4BC93D" w14:textId="77777777" w:rsidR="00854F9E" w:rsidRDefault="00854F9E" w:rsidP="00882237"/>
          <w:p w14:paraId="0DCB1C47" w14:textId="131AA2F4" w:rsidR="007D1C52" w:rsidRDefault="007D1C52" w:rsidP="007D1C52">
            <w:r>
              <w:t xml:space="preserve">Vejledningen retter sig til </w:t>
            </w:r>
            <w:r w:rsidR="00B05398">
              <w:t xml:space="preserve">institutter, herunder fondsmæglerselskaber, som </w:t>
            </w:r>
            <w:r>
              <w:t>er omfattet af genopretningsbekendtgørelsen</w:t>
            </w:r>
            <w:r w:rsidR="009B1F9D">
              <w:t xml:space="preserve">, og som efter bekendtgørelsen kan </w:t>
            </w:r>
            <w:r>
              <w:t>udarbejde forenklede genopretningsplaner.</w:t>
            </w:r>
          </w:p>
          <w:p w14:paraId="5FCE52F6" w14:textId="5526F2A1" w:rsidR="00CE038C" w:rsidRDefault="00CE038C" w:rsidP="007D1C52">
            <w:r w:rsidRPr="00CE038C">
              <w:t>Vejledning nr. 9447 af 16. maj 2023 om genopretningsplaner for pengeinstitutter, realkreditinstitutter, et skibsfinansieringsinstitut og fondsmæglerselskaber bortfalder</w:t>
            </w:r>
            <w:r w:rsidR="001A5231">
              <w:t xml:space="preserve"> samtidig</w:t>
            </w:r>
            <w:r w:rsidRPr="00CE038C">
              <w:t>.</w:t>
            </w:r>
          </w:p>
          <w:p w14:paraId="4C49B63F" w14:textId="77777777" w:rsidR="00CE038C" w:rsidRDefault="00CE038C" w:rsidP="007D1C52"/>
          <w:p w14:paraId="57A96373" w14:textId="7A286467" w:rsidR="00882237" w:rsidRDefault="009237E3" w:rsidP="00882237">
            <w:r>
              <w:t xml:space="preserve">(Offentliggjort den 27. juni 2024, </w:t>
            </w:r>
            <w:hyperlink r:id="rId12" w:history="1">
              <w:r w:rsidRPr="009237E3">
                <w:rPr>
                  <w:rStyle w:val="Hyperlink"/>
                </w:rPr>
                <w:t>link</w:t>
              </w:r>
            </w:hyperlink>
            <w:r>
              <w:t>)</w:t>
            </w:r>
          </w:p>
          <w:p w14:paraId="59304EB8" w14:textId="77777777" w:rsidR="00882237" w:rsidRDefault="00882237"/>
          <w:p w14:paraId="28D38F69" w14:textId="77777777" w:rsidR="005641E4" w:rsidRDefault="005641E4"/>
          <w:p w14:paraId="5D2D708D" w14:textId="5E7BF810" w:rsidR="006B4780" w:rsidRPr="00B2003C" w:rsidRDefault="001C2317">
            <w:pPr>
              <w:rPr>
                <w:b/>
                <w:bCs/>
              </w:rPr>
            </w:pPr>
            <w:bookmarkStart w:id="5" w:name="BB1"/>
            <w:r w:rsidRPr="00B2003C">
              <w:rPr>
                <w:b/>
                <w:bCs/>
              </w:rPr>
              <w:t xml:space="preserve">Vejledning </w:t>
            </w:r>
            <w:r w:rsidR="004F11D0" w:rsidRPr="00B2003C">
              <w:rPr>
                <w:b/>
                <w:bCs/>
              </w:rPr>
              <w:t>nr</w:t>
            </w:r>
            <w:r w:rsidR="004F11D0" w:rsidRPr="00B2003C">
              <w:rPr>
                <w:b/>
                <w:bCs/>
              </w:rPr>
              <w:t>.</w:t>
            </w:r>
            <w:r w:rsidR="004F11D0" w:rsidRPr="00B2003C">
              <w:rPr>
                <w:b/>
                <w:bCs/>
              </w:rPr>
              <w:t xml:space="preserve"> 9461 af 24</w:t>
            </w:r>
            <w:r w:rsidR="004F11D0" w:rsidRPr="00B2003C">
              <w:rPr>
                <w:b/>
                <w:bCs/>
              </w:rPr>
              <w:t xml:space="preserve">. juni </w:t>
            </w:r>
            <w:r w:rsidR="004F11D0" w:rsidRPr="00B2003C">
              <w:rPr>
                <w:b/>
                <w:bCs/>
              </w:rPr>
              <w:t>2024</w:t>
            </w:r>
            <w:r w:rsidR="004F11D0" w:rsidRPr="00B2003C">
              <w:rPr>
                <w:b/>
                <w:bCs/>
              </w:rPr>
              <w:t xml:space="preserve"> </w:t>
            </w:r>
            <w:r w:rsidRPr="00B2003C">
              <w:rPr>
                <w:b/>
                <w:bCs/>
              </w:rPr>
              <w:t>til bekendtgørelse om indberetning til og offentliggørelse af årsrapporter m.v. i Erhvervsstyrelsen for virksomheder omfattet af regnskabsregler fastsat ved eller i henhold til lovgivningen for finansielle virksomheder m.v.</w:t>
            </w:r>
          </w:p>
          <w:bookmarkEnd w:id="5"/>
          <w:p w14:paraId="010CB6D2" w14:textId="77777777" w:rsidR="001C2317" w:rsidRDefault="001C2317"/>
          <w:p w14:paraId="545718E6" w14:textId="225AE891" w:rsidR="00DD0693" w:rsidRDefault="001F3A0B">
            <w:r>
              <w:t>V</w:t>
            </w:r>
            <w:r w:rsidR="00DD0693" w:rsidRPr="00DD0693">
              <w:t>ejledning</w:t>
            </w:r>
            <w:r w:rsidR="00BD7F5F">
              <w:t>en</w:t>
            </w:r>
            <w:r>
              <w:t xml:space="preserve"> omhandler </w:t>
            </w:r>
            <w:r w:rsidR="00DD0693" w:rsidRPr="00DD0693">
              <w:t>indberetning til og offentliggørelse af årsrapporter m.v. i Erhvervsstyrelsen for finansielle virksomheder m.v.</w:t>
            </w:r>
            <w:r w:rsidR="00C64F94">
              <w:t xml:space="preserve"> Den </w:t>
            </w:r>
            <w:r w:rsidR="00414C91">
              <w:t>adresserer,</w:t>
            </w:r>
            <w:r w:rsidR="00C64F94">
              <w:t xml:space="preserve"> hvilke dokumenter der skal indsendes</w:t>
            </w:r>
            <w:r w:rsidR="00F13AD3">
              <w:t>, indsendelsesfrister samt formatkrav.</w:t>
            </w:r>
          </w:p>
          <w:p w14:paraId="2F3CEA3B" w14:textId="61A7DEA3" w:rsidR="00061531" w:rsidRDefault="00061531">
            <w:r w:rsidRPr="00061531">
              <w:t>Vejledningen erstatter Finanstilsynets vejledning nr. 10220 af 17. december 2019</w:t>
            </w:r>
            <w:r w:rsidR="00F13AD3">
              <w:t>.</w:t>
            </w:r>
          </w:p>
          <w:p w14:paraId="7A23221C" w14:textId="77777777" w:rsidR="00061531" w:rsidRDefault="00061531"/>
          <w:p w14:paraId="06F0E164" w14:textId="165FE1B9" w:rsidR="001C2317" w:rsidRDefault="00EE41D0">
            <w:r w:rsidRPr="00EE41D0">
              <w:t>(Offentliggjort den 27. juni 2024</w:t>
            </w:r>
            <w:r w:rsidR="001F3A0B">
              <w:t xml:space="preserve">, </w:t>
            </w:r>
            <w:hyperlink r:id="rId13" w:history="1">
              <w:r w:rsidR="001F3A0B" w:rsidRPr="001F3A0B">
                <w:rPr>
                  <w:rStyle w:val="Hyperlink"/>
                </w:rPr>
                <w:t>link</w:t>
              </w:r>
            </w:hyperlink>
            <w:r w:rsidR="001F3A0B">
              <w:t>)</w:t>
            </w:r>
          </w:p>
          <w:p w14:paraId="2BE89B52" w14:textId="77777777" w:rsidR="006B4780" w:rsidRDefault="006B4780"/>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lastRenderedPageBreak/>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6E60DE2D" w14:textId="77777777" w:rsidR="00BE4C01" w:rsidRDefault="00BE4C01"/>
          <w:p w14:paraId="2A1F75B2" w14:textId="77777777" w:rsidR="007A57CD" w:rsidRPr="007A57CD" w:rsidRDefault="007A57CD" w:rsidP="007A57CD">
            <w:pPr>
              <w:rPr>
                <w:b/>
                <w:bCs/>
              </w:rPr>
            </w:pPr>
            <w:bookmarkStart w:id="6" w:name="C"/>
            <w:r w:rsidRPr="007A57CD">
              <w:rPr>
                <w:b/>
                <w:bCs/>
              </w:rPr>
              <w:t>Europa-Parlamentets og Rådets forordning (EU) 2024/1620 af 31. maj 2024 om oprettelse af Myndigheden for Bekæmpelse af Hvidvask af Penge og Finansiering af Terrorisme og om ændring af forordning (EU) nr. 1093/2010, (EU) nr. 1094/2010 og (EU) nr. 1095/2010</w:t>
            </w:r>
            <w:bookmarkEnd w:id="6"/>
          </w:p>
          <w:p w14:paraId="03F8A66D" w14:textId="77777777" w:rsidR="00452DE2" w:rsidRDefault="00452DE2" w:rsidP="007A57CD"/>
          <w:p w14:paraId="13F2EEDB" w14:textId="6427BCE2" w:rsidR="007A57CD" w:rsidRPr="007A57CD" w:rsidRDefault="007A57CD" w:rsidP="007A57CD">
            <w:r w:rsidRPr="007A57CD">
              <w:t xml:space="preserve">Forordningen (AMLA-R) opretter en ny </w:t>
            </w:r>
            <w:r w:rsidR="00196C67">
              <w:t>EU-</w:t>
            </w:r>
            <w:r w:rsidRPr="007A57CD">
              <w:t>myndighed for bekæmpelse af hvidvask af penge og finansiering af terrorisme (AMLA).</w:t>
            </w:r>
          </w:p>
          <w:p w14:paraId="69C1FC15" w14:textId="46535590" w:rsidR="007A57CD" w:rsidRPr="007A57CD" w:rsidRDefault="00196C67" w:rsidP="007A57CD">
            <w:r>
              <w:t>AMLA</w:t>
            </w:r>
            <w:r w:rsidR="007A57CD" w:rsidRPr="007A57CD">
              <w:t xml:space="preserve"> skal bl.a.</w:t>
            </w:r>
            <w:r w:rsidR="001F42BE">
              <w:t>:</w:t>
            </w:r>
            <w:r w:rsidR="007A57CD" w:rsidRPr="007A57CD">
              <w:t xml:space="preserve"> </w:t>
            </w:r>
          </w:p>
          <w:p w14:paraId="51F09821" w14:textId="41901E76" w:rsidR="007A57CD" w:rsidRPr="007A57CD" w:rsidRDefault="007A57CD" w:rsidP="007A57CD">
            <w:r w:rsidRPr="007A57CD">
              <w:t xml:space="preserve">i) udpege og vurdere ML/TF-risici og trusler i </w:t>
            </w:r>
            <w:r w:rsidR="001F42BE">
              <w:t>EU</w:t>
            </w:r>
            <w:r w:rsidRPr="007A57CD">
              <w:t xml:space="preserve"> samt risici og trusler, der hidrører fra lande uden for EU, </w:t>
            </w:r>
          </w:p>
          <w:p w14:paraId="1609166A" w14:textId="75BFF675" w:rsidR="007A57CD" w:rsidRPr="007A57CD" w:rsidRDefault="007A57CD" w:rsidP="007A57CD">
            <w:r w:rsidRPr="007A57CD">
              <w:t xml:space="preserve">ii) sikre tilsyn af høj kvalitet inden for bekæmpelse af hvidvask af penge og finansiering af terrorisme i </w:t>
            </w:r>
            <w:r w:rsidR="00FA6251">
              <w:t>EU</w:t>
            </w:r>
            <w:r w:rsidR="0005549E">
              <w:t xml:space="preserve"> og</w:t>
            </w:r>
          </w:p>
          <w:p w14:paraId="75AD8D9D" w14:textId="51F89293" w:rsidR="007A57CD" w:rsidRPr="007A57CD" w:rsidRDefault="007A57CD" w:rsidP="007A57CD">
            <w:r w:rsidRPr="007A57CD">
              <w:t>iii) bidrage til tilsynsmæssig konvergens på området</w:t>
            </w:r>
            <w:r w:rsidR="0005549E">
              <w:t>.</w:t>
            </w:r>
            <w:r w:rsidRPr="007A57CD">
              <w:t xml:space="preserve"> </w:t>
            </w:r>
          </w:p>
          <w:p w14:paraId="6E8E3E28" w14:textId="1AD74465" w:rsidR="007A57CD" w:rsidRPr="007A57CD" w:rsidRDefault="007A57CD" w:rsidP="007A57CD">
            <w:r w:rsidRPr="007A57CD">
              <w:t xml:space="preserve">Myndigheden vil bl.a. få direkte tilsynsbeføjelser over for visse typer særligt risikofyldte </w:t>
            </w:r>
            <w:r w:rsidR="00B427CB">
              <w:t>institutter</w:t>
            </w:r>
            <w:r w:rsidRPr="007A57CD">
              <w:t xml:space="preserve"> med grænseoverskridende tilstedeværelse.</w:t>
            </w:r>
          </w:p>
          <w:p w14:paraId="61F36AF5" w14:textId="77777777" w:rsidR="007A57CD" w:rsidRPr="007A57CD" w:rsidRDefault="007A57CD" w:rsidP="007A57CD">
            <w:r w:rsidRPr="007A57CD">
              <w:t>Forordningen finder i udgangspunktet anvendelse fra den 1. juli 2025.</w:t>
            </w:r>
          </w:p>
          <w:p w14:paraId="4257B1F4" w14:textId="77777777" w:rsidR="005729AD" w:rsidRDefault="005729AD" w:rsidP="007A57CD"/>
          <w:p w14:paraId="525B1E88" w14:textId="4A9E9F72" w:rsidR="007A57CD" w:rsidRPr="007A57CD" w:rsidRDefault="007A57CD" w:rsidP="007A57CD">
            <w:r w:rsidRPr="007A57CD">
              <w:t xml:space="preserve">(Offentliggjort den 19. </w:t>
            </w:r>
            <w:r w:rsidR="005729AD">
              <w:t>juni</w:t>
            </w:r>
            <w:r w:rsidRPr="007A57CD">
              <w:t xml:space="preserve"> 2024, </w:t>
            </w:r>
            <w:hyperlink r:id="rId14" w:history="1">
              <w:r w:rsidRPr="007A57CD">
                <w:rPr>
                  <w:rStyle w:val="Hyperlink"/>
                </w:rPr>
                <w:t>link</w:t>
              </w:r>
            </w:hyperlink>
            <w:r w:rsidRPr="007A57CD">
              <w:t>)</w:t>
            </w:r>
          </w:p>
          <w:p w14:paraId="0CAF25F8" w14:textId="77777777" w:rsidR="007A57CD" w:rsidRDefault="007A57CD" w:rsidP="007A57CD"/>
          <w:p w14:paraId="2C0CB08D" w14:textId="77777777" w:rsidR="00F05726" w:rsidRPr="007A57CD" w:rsidRDefault="00F05726" w:rsidP="007A57CD"/>
          <w:p w14:paraId="36505769" w14:textId="77777777" w:rsidR="007A57CD" w:rsidRDefault="007A57CD" w:rsidP="007A57CD">
            <w:pPr>
              <w:rPr>
                <w:b/>
                <w:bCs/>
              </w:rPr>
            </w:pPr>
            <w:bookmarkStart w:id="7" w:name="D"/>
            <w:r w:rsidRPr="007A57CD">
              <w:rPr>
                <w:b/>
                <w:bCs/>
              </w:rPr>
              <w:t>Europa-Parlamentets og Rådets forordning (EU) 2024/1624 af 31. maj 2024 om forebyggende foranstaltninger mod anvendelse af det finansielle system til hvidvask af penge eller finansiering af terrorisme</w:t>
            </w:r>
          </w:p>
          <w:bookmarkEnd w:id="7"/>
          <w:p w14:paraId="741E9CEE" w14:textId="77777777" w:rsidR="00494562" w:rsidRPr="007A57CD" w:rsidRDefault="00494562" w:rsidP="007A57CD">
            <w:pPr>
              <w:rPr>
                <w:b/>
                <w:bCs/>
              </w:rPr>
            </w:pPr>
          </w:p>
          <w:p w14:paraId="43363973" w14:textId="0E905D18" w:rsidR="007A57CD" w:rsidRPr="007A57CD" w:rsidRDefault="007A57CD" w:rsidP="007A57CD">
            <w:r w:rsidRPr="007A57CD">
              <w:t xml:space="preserve">Forordningen (AMLR) skal afløse det gældende hvidvaskdirektiv for at undgå forskelle i </w:t>
            </w:r>
            <w:r w:rsidR="00F21EFD">
              <w:t xml:space="preserve">reguleringen </w:t>
            </w:r>
            <w:r w:rsidR="00676619">
              <w:t>i</w:t>
            </w:r>
            <w:r w:rsidR="00F21EFD">
              <w:t xml:space="preserve"> medlemsstaterne</w:t>
            </w:r>
            <w:r w:rsidRPr="007A57CD">
              <w:t xml:space="preserve">. Myndighedsudøvelsen på nationalt plan reguleres dog fortsat i </w:t>
            </w:r>
            <w:r w:rsidR="00A52DBB">
              <w:t>et direktiv (AMLD 6)</w:t>
            </w:r>
            <w:r w:rsidRPr="007A57CD">
              <w:t>.</w:t>
            </w:r>
          </w:p>
          <w:p w14:paraId="1246D69C" w14:textId="00825304" w:rsidR="007A57CD" w:rsidRPr="007A57CD" w:rsidRDefault="007A57CD" w:rsidP="007A57CD">
            <w:r w:rsidRPr="007A57CD">
              <w:t xml:space="preserve">Der er foretaget en række tilpasninger af reglernes indhold. </w:t>
            </w:r>
            <w:r w:rsidR="003C2DBF">
              <w:t>Bl.a. nedsættes g</w:t>
            </w:r>
            <w:r w:rsidRPr="007A57CD">
              <w:t>rænsen for reglernes anvendelse på lejlighedsvise transaktioner til EUR 10.000. Endvidere uddybes kravene til interne politikker, kontroller og procedurer nærmere, herunder på koncernniveau. Krav i forbindelse med bl.a. tredjelande, PEP’er, reelt ejerskab og mistænkelige transaktioner opdateres og uddybes.</w:t>
            </w:r>
          </w:p>
          <w:p w14:paraId="42A3CC61" w14:textId="77777777" w:rsidR="007A57CD" w:rsidRPr="007A57CD" w:rsidRDefault="007A57CD" w:rsidP="007A57CD">
            <w:r w:rsidRPr="007A57CD">
              <w:t>Visse regler vil blive yderligere uddybet ved niveau 2-regler.</w:t>
            </w:r>
          </w:p>
          <w:p w14:paraId="20E47770" w14:textId="77777777" w:rsidR="007A57CD" w:rsidRPr="007A57CD" w:rsidRDefault="007A57CD" w:rsidP="007A57CD">
            <w:r w:rsidRPr="007A57CD">
              <w:t>Forordningen finder i udgangspunktet anvendelse fra den 10. juli 2027.</w:t>
            </w:r>
          </w:p>
          <w:p w14:paraId="3887BE5C" w14:textId="77777777" w:rsidR="005729AD" w:rsidRDefault="005729AD" w:rsidP="007A57CD"/>
          <w:p w14:paraId="77C6C120" w14:textId="402DCFC0" w:rsidR="007A57CD" w:rsidRPr="007A57CD" w:rsidRDefault="007A57CD" w:rsidP="007A57CD">
            <w:r w:rsidRPr="007A57CD">
              <w:t xml:space="preserve">(Offentliggjort den 19. </w:t>
            </w:r>
            <w:r w:rsidR="005729AD">
              <w:t>juni</w:t>
            </w:r>
            <w:r w:rsidRPr="007A57CD">
              <w:t xml:space="preserve"> 2024, </w:t>
            </w:r>
            <w:hyperlink r:id="rId15" w:history="1">
              <w:r w:rsidRPr="007A57CD">
                <w:rPr>
                  <w:rStyle w:val="Hyperlink"/>
                </w:rPr>
                <w:t>link</w:t>
              </w:r>
            </w:hyperlink>
            <w:r w:rsidRPr="007A57CD">
              <w:t>)</w:t>
            </w:r>
          </w:p>
          <w:p w14:paraId="010E559B" w14:textId="77777777" w:rsidR="007A57CD" w:rsidRDefault="007A57CD"/>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65D9EBFA" w14:textId="77777777" w:rsidR="00BE4C01" w:rsidRDefault="00BE4C01"/>
          <w:p w14:paraId="156149B6" w14:textId="77777777" w:rsidR="00B676F0" w:rsidRDefault="00B676F0" w:rsidP="00B676F0">
            <w:pPr>
              <w:rPr>
                <w:b/>
                <w:bCs/>
              </w:rPr>
            </w:pPr>
            <w:bookmarkStart w:id="8" w:name="E"/>
            <w:r w:rsidRPr="00B676F0">
              <w:rPr>
                <w:b/>
                <w:bCs/>
              </w:rPr>
              <w:t>Kommissionens delegerede forordning (EU) 2024/1771 af 13. marts 2024 om supplerende regler til Europa-Parlamentets og Rådets forordning (EU) 2019/2033 for så vidt angår reguleringsmæssige tekniske standarder, som præciserer omfanget af og metoderne til tilsynsmæssig konsolidering af en investeringsselskabskoncern</w:t>
            </w:r>
          </w:p>
          <w:bookmarkEnd w:id="8"/>
          <w:p w14:paraId="1016401F" w14:textId="77777777" w:rsidR="002E50FF" w:rsidRPr="00B676F0" w:rsidRDefault="002E50FF" w:rsidP="00B676F0">
            <w:pPr>
              <w:rPr>
                <w:b/>
                <w:bCs/>
              </w:rPr>
            </w:pPr>
          </w:p>
          <w:p w14:paraId="5055863C" w14:textId="35665168" w:rsidR="00B676F0" w:rsidRDefault="00B676F0" w:rsidP="00B676F0">
            <w:r w:rsidRPr="00B676F0">
              <w:t xml:space="preserve">Denne </w:t>
            </w:r>
            <w:r w:rsidR="00B95D24">
              <w:t>niveau 2-forordning</w:t>
            </w:r>
            <w:r w:rsidRPr="00B676F0">
              <w:t xml:space="preserve"> under IFR præciserer anvendelsesområdet for og metoderne til konsolidering af tilsyn med investeringsselskabskoncerner</w:t>
            </w:r>
            <w:r w:rsidR="00B95D24">
              <w:t>. Det sker n</w:t>
            </w:r>
            <w:r w:rsidRPr="00B676F0">
              <w:t xml:space="preserve">avnlig med henblik på beregning af faste omkostninger og permanente minimumskapitalkrav, K-faktorkravet på grundlag af </w:t>
            </w:r>
            <w:r w:rsidR="00A305C2">
              <w:t>den</w:t>
            </w:r>
            <w:r w:rsidRPr="00B676F0">
              <w:t xml:space="preserve"> konsoliderede situation, samt metoden og de nødvendige detaljer til korrekt gennemførelse af </w:t>
            </w:r>
            <w:r w:rsidR="00B95D24">
              <w:t xml:space="preserve">IFR </w:t>
            </w:r>
            <w:r w:rsidRPr="00B676F0">
              <w:t>artikel 7, stk. 2.</w:t>
            </w:r>
          </w:p>
          <w:p w14:paraId="3AF1CC76" w14:textId="665344DE" w:rsidR="009B2065" w:rsidRDefault="009B2065" w:rsidP="00B676F0">
            <w:r>
              <w:t>Forordningen finder anvendelse fra den 15. juli 2024.</w:t>
            </w:r>
          </w:p>
          <w:p w14:paraId="72159BBD" w14:textId="77777777" w:rsidR="00B95D24" w:rsidRPr="00B676F0" w:rsidRDefault="00B95D24" w:rsidP="00B676F0"/>
          <w:p w14:paraId="7C0B91B2" w14:textId="77777777" w:rsidR="00B676F0" w:rsidRPr="00B676F0" w:rsidRDefault="00B676F0" w:rsidP="00B676F0">
            <w:r w:rsidRPr="00B676F0">
              <w:t xml:space="preserve">(Offentliggjort den 25. juni 2024, </w:t>
            </w:r>
            <w:hyperlink r:id="rId16" w:history="1">
              <w:r w:rsidRPr="00B676F0">
                <w:rPr>
                  <w:rStyle w:val="Hyperlink"/>
                </w:rPr>
                <w:t>link</w:t>
              </w:r>
            </w:hyperlink>
            <w:r w:rsidRPr="00B676F0">
              <w:t>)</w:t>
            </w:r>
          </w:p>
          <w:p w14:paraId="2871FAB2" w14:textId="77777777" w:rsidR="00B676F0" w:rsidRDefault="00B676F0"/>
          <w:p w14:paraId="5B2AB639" w14:textId="77777777" w:rsidR="00F05726" w:rsidRDefault="00F05726"/>
          <w:p w14:paraId="4BF960F7" w14:textId="77777777" w:rsidR="00443CCA" w:rsidRDefault="00443CCA" w:rsidP="00443CCA">
            <w:pPr>
              <w:rPr>
                <w:b/>
                <w:bCs/>
              </w:rPr>
            </w:pPr>
            <w:bookmarkStart w:id="9" w:name="F"/>
            <w:r w:rsidRPr="00443CCA">
              <w:rPr>
                <w:b/>
                <w:bCs/>
              </w:rPr>
              <w:t>Kommissionens delegerede forordning (EU) 2024/1772 af 13. marts 2024 om supplerende regler til Europa-Parlamentets og Rådets forordning (EU) 2022/2554 for så vidt angår reguleringsmæssige tekniske standarder, der præciserer kriterierne for klassificering af IKT-relaterede hændelser og cybertrusler, fastsætter væsentlighedstærskler og præciserer de nærmere oplysninger om indberetninger af større hændelser</w:t>
            </w:r>
          </w:p>
          <w:bookmarkEnd w:id="9"/>
          <w:p w14:paraId="1D831CBB" w14:textId="77777777" w:rsidR="002B6986" w:rsidRPr="00443CCA" w:rsidRDefault="002B6986" w:rsidP="00443CCA">
            <w:pPr>
              <w:rPr>
                <w:b/>
                <w:bCs/>
              </w:rPr>
            </w:pPr>
          </w:p>
          <w:p w14:paraId="62019497" w14:textId="28845998" w:rsidR="004D634E" w:rsidRDefault="00443CCA" w:rsidP="00443CCA">
            <w:r w:rsidRPr="00443CCA">
              <w:t>Der er tale om en delegeret forordning under DORA, der yderligere præciserer</w:t>
            </w:r>
            <w:r w:rsidR="00C7127E">
              <w:t>:</w:t>
            </w:r>
            <w:r w:rsidRPr="00443CCA">
              <w:t xml:space="preserve"> </w:t>
            </w:r>
          </w:p>
          <w:p w14:paraId="473D2697" w14:textId="77777777" w:rsidR="004D634E" w:rsidRDefault="00443CCA" w:rsidP="00443CCA">
            <w:r w:rsidRPr="00443CCA">
              <w:t xml:space="preserve">i) kriterierne for klassificering og bestemmelse af virkningen af IKT-relaterede hændelser, </w:t>
            </w:r>
          </w:p>
          <w:p w14:paraId="4574B247" w14:textId="77777777" w:rsidR="004D634E" w:rsidRDefault="00443CCA" w:rsidP="00443CCA">
            <w:r w:rsidRPr="00443CCA">
              <w:t xml:space="preserve">ii) de kriterier, som de kompetente myndigheder skal anvende med henblik på at vurdere relevansen af større IKT-relaterede hændelser, og </w:t>
            </w:r>
          </w:p>
          <w:p w14:paraId="3909AEF6" w14:textId="76C02C69" w:rsidR="00443CCA" w:rsidRPr="00443CCA" w:rsidRDefault="00443CCA" w:rsidP="00443CCA">
            <w:r w:rsidRPr="00443CCA">
              <w:t>iii) kriterierne for klassificering af cybertrusler som betydelige.</w:t>
            </w:r>
          </w:p>
          <w:p w14:paraId="5499619C" w14:textId="77777777" w:rsidR="00B87C12" w:rsidRDefault="00B87C12" w:rsidP="00443CCA"/>
          <w:p w14:paraId="4389D4EE" w14:textId="28E82AA1" w:rsidR="00443CCA" w:rsidRPr="00443CCA" w:rsidRDefault="00443CCA" w:rsidP="00443CCA">
            <w:r w:rsidRPr="00443CCA">
              <w:t xml:space="preserve">(Offentliggjort den 25. juni 2024, </w:t>
            </w:r>
            <w:hyperlink r:id="rId17" w:history="1">
              <w:r w:rsidRPr="00443CCA">
                <w:rPr>
                  <w:rStyle w:val="Hyperlink"/>
                </w:rPr>
                <w:t>link</w:t>
              </w:r>
            </w:hyperlink>
            <w:r w:rsidRPr="00443CCA">
              <w:t>)</w:t>
            </w:r>
          </w:p>
          <w:p w14:paraId="19BA85D4" w14:textId="77777777" w:rsidR="00443CCA" w:rsidRDefault="00443CCA" w:rsidP="00443CCA"/>
          <w:p w14:paraId="114C4375" w14:textId="77777777" w:rsidR="00F05726" w:rsidRPr="00443CCA" w:rsidRDefault="00F05726" w:rsidP="00443CCA"/>
          <w:p w14:paraId="23ACE7EA" w14:textId="77777777" w:rsidR="00443CCA" w:rsidRDefault="00443CCA" w:rsidP="00443CCA">
            <w:pPr>
              <w:rPr>
                <w:b/>
                <w:bCs/>
              </w:rPr>
            </w:pPr>
            <w:bookmarkStart w:id="10" w:name="G"/>
            <w:r w:rsidRPr="00443CCA">
              <w:rPr>
                <w:b/>
                <w:bCs/>
              </w:rPr>
              <w:t>Kommissionens delegerede forordning (EU) 2024/1773 af 13. marts 2024 om supplerende regler til Europa-Parlamentets og Rådets forordning (EU) 2022/2554 for så vidt angår reguleringsmæssige tekniske standarder, der præciserer det detaljerede indhold af politikken vedrørende de kontraktlige ordninger for brugen af IKT-tjenester, der understøtter kritiske eller vigtige funktioner, og som leveres af tredjepartsudbydere af IKT-tjenester</w:t>
            </w:r>
          </w:p>
          <w:bookmarkEnd w:id="10"/>
          <w:p w14:paraId="09C07C22" w14:textId="77777777" w:rsidR="004D634E" w:rsidRPr="00443CCA" w:rsidRDefault="004D634E" w:rsidP="00443CCA">
            <w:pPr>
              <w:rPr>
                <w:b/>
                <w:bCs/>
              </w:rPr>
            </w:pPr>
          </w:p>
          <w:p w14:paraId="3B49C3F1" w14:textId="77777777" w:rsidR="00443CCA" w:rsidRDefault="00443CCA" w:rsidP="00443CCA">
            <w:r w:rsidRPr="00443CCA">
              <w:t xml:space="preserve">Der er tale om en delegeret forordning under DORA, som præciserer de nærmere krav til virksomhedernes politikker for brugen af IKT-tjenester, der understøtter kritiske eller vigtige funktioner leveret af tredjepartsudbydere af IKT-tjenester. </w:t>
            </w:r>
          </w:p>
          <w:p w14:paraId="1FA9287E" w14:textId="77777777" w:rsidR="00EB46C9" w:rsidRPr="00443CCA" w:rsidRDefault="00EB46C9" w:rsidP="00443CCA"/>
          <w:p w14:paraId="17EEB66A" w14:textId="77777777" w:rsidR="00443CCA" w:rsidRPr="00443CCA" w:rsidRDefault="00443CCA" w:rsidP="00443CCA">
            <w:r w:rsidRPr="00443CCA">
              <w:t xml:space="preserve">(Offentliggjort den 25. juni 2024, </w:t>
            </w:r>
            <w:hyperlink r:id="rId18" w:history="1">
              <w:r w:rsidRPr="00443CCA">
                <w:rPr>
                  <w:rStyle w:val="Hyperlink"/>
                </w:rPr>
                <w:t>link</w:t>
              </w:r>
            </w:hyperlink>
            <w:r w:rsidRPr="00443CCA">
              <w:t>)</w:t>
            </w:r>
          </w:p>
          <w:p w14:paraId="3BD8CD63" w14:textId="77777777" w:rsidR="00443CCA" w:rsidRDefault="00443CCA" w:rsidP="00443CCA"/>
          <w:p w14:paraId="2BCC4FD7" w14:textId="77777777" w:rsidR="00F05726" w:rsidRPr="00443CCA" w:rsidRDefault="00F05726" w:rsidP="00443CCA"/>
          <w:p w14:paraId="074C1062" w14:textId="77777777" w:rsidR="00443CCA" w:rsidRDefault="00443CCA" w:rsidP="00443CCA">
            <w:pPr>
              <w:rPr>
                <w:b/>
                <w:bCs/>
              </w:rPr>
            </w:pPr>
            <w:bookmarkStart w:id="11" w:name="H"/>
            <w:r w:rsidRPr="00443CCA">
              <w:rPr>
                <w:b/>
                <w:bCs/>
              </w:rPr>
              <w:t>Kommissionens delegerede forordning (EU) 2024/1774 af 13. marts 2024 om supplerende regler til Europa-Parlamentets og Rådets forordning (EU) 2022/2554 for så vidt angår reguleringsmæssige tekniske standarder, der præciserer IKT-risikostyringsværktøjer, -metoder, -processer og -politikker og den forenklede ramme for IKT-risikostyring</w:t>
            </w:r>
          </w:p>
          <w:bookmarkEnd w:id="11"/>
          <w:p w14:paraId="1F855129" w14:textId="77777777" w:rsidR="004D634E" w:rsidRPr="00443CCA" w:rsidRDefault="004D634E" w:rsidP="00443CCA">
            <w:pPr>
              <w:rPr>
                <w:b/>
                <w:bCs/>
              </w:rPr>
            </w:pPr>
          </w:p>
          <w:p w14:paraId="0C1D22AC" w14:textId="77777777" w:rsidR="00443CCA" w:rsidRDefault="00443CCA" w:rsidP="00443CCA">
            <w:r w:rsidRPr="00443CCA">
              <w:t xml:space="preserve">Der er tale om en delegeret forordning under DORA, som indeholder regler for yderligere harmonisering af IKT-risikostyringsværktøjer, -metoder, -processer og -politikker. </w:t>
            </w:r>
          </w:p>
          <w:p w14:paraId="46D84B53" w14:textId="77777777" w:rsidR="004D634E" w:rsidRDefault="004D634E" w:rsidP="00443CCA"/>
          <w:p w14:paraId="54C7D442" w14:textId="1D1B9964" w:rsidR="00443CCA" w:rsidRPr="00443CCA" w:rsidRDefault="00443CCA" w:rsidP="00443CCA">
            <w:r w:rsidRPr="00443CCA">
              <w:t xml:space="preserve">(Offentliggjort den 25. juni 2024, </w:t>
            </w:r>
            <w:hyperlink r:id="rId19" w:history="1">
              <w:r w:rsidRPr="00443CCA">
                <w:rPr>
                  <w:rStyle w:val="Hyperlink"/>
                </w:rPr>
                <w:t>link</w:t>
              </w:r>
            </w:hyperlink>
            <w:r w:rsidRPr="00443CCA">
              <w:t>)</w:t>
            </w:r>
          </w:p>
          <w:p w14:paraId="570C0B58" w14:textId="77777777" w:rsidR="005729AD" w:rsidRDefault="005729AD"/>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lastRenderedPageBreak/>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7D8E51E1" w14:textId="77777777" w:rsidR="00BE4C01" w:rsidRDefault="00BE4C01"/>
          <w:p w14:paraId="01F4AB3F" w14:textId="78BE2D81" w:rsidR="005729AD" w:rsidRDefault="005729AD">
            <w:r>
              <w:t>(intet nyt)</w:t>
            </w:r>
          </w:p>
          <w:p w14:paraId="5E1E2D1B" w14:textId="77777777" w:rsidR="005729AD" w:rsidRDefault="005729AD"/>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007F1721" w14:textId="77777777" w:rsidR="00BE4C01" w:rsidRDefault="00BE4C01"/>
          <w:p w14:paraId="6DDB3D25" w14:textId="153B6471" w:rsidR="0013169E" w:rsidRDefault="005729AD">
            <w:r>
              <w:lastRenderedPageBreak/>
              <w:t>(intet nyt)</w:t>
            </w:r>
          </w:p>
          <w:p w14:paraId="29E632A3" w14:textId="77777777" w:rsidR="0013169E" w:rsidRDefault="0013169E" w:rsidP="005729AD"/>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21"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47EF0"/>
    <w:rsid w:val="0005549E"/>
    <w:rsid w:val="00061531"/>
    <w:rsid w:val="000A3963"/>
    <w:rsid w:val="000B5508"/>
    <w:rsid w:val="000C7619"/>
    <w:rsid w:val="001163B2"/>
    <w:rsid w:val="0013169E"/>
    <w:rsid w:val="00136D9B"/>
    <w:rsid w:val="00143ED5"/>
    <w:rsid w:val="00155050"/>
    <w:rsid w:val="00196C67"/>
    <w:rsid w:val="001A2911"/>
    <w:rsid w:val="001A5231"/>
    <w:rsid w:val="001C0C07"/>
    <w:rsid w:val="001C2317"/>
    <w:rsid w:val="001D2801"/>
    <w:rsid w:val="001D34C0"/>
    <w:rsid w:val="001F3A0B"/>
    <w:rsid w:val="001F41D7"/>
    <w:rsid w:val="001F42BE"/>
    <w:rsid w:val="002262C1"/>
    <w:rsid w:val="00234740"/>
    <w:rsid w:val="00236B9B"/>
    <w:rsid w:val="00265438"/>
    <w:rsid w:val="002812FA"/>
    <w:rsid w:val="002B6986"/>
    <w:rsid w:val="002B6B87"/>
    <w:rsid w:val="002E4497"/>
    <w:rsid w:val="002E50FF"/>
    <w:rsid w:val="003005CC"/>
    <w:rsid w:val="00315188"/>
    <w:rsid w:val="00344CB3"/>
    <w:rsid w:val="0037581A"/>
    <w:rsid w:val="003B71FC"/>
    <w:rsid w:val="003B7D51"/>
    <w:rsid w:val="003C2DBF"/>
    <w:rsid w:val="003D6E52"/>
    <w:rsid w:val="00414C91"/>
    <w:rsid w:val="00421AE8"/>
    <w:rsid w:val="00427ED3"/>
    <w:rsid w:val="0043158E"/>
    <w:rsid w:val="00443CCA"/>
    <w:rsid w:val="0044450D"/>
    <w:rsid w:val="00452DE2"/>
    <w:rsid w:val="0045749D"/>
    <w:rsid w:val="00467279"/>
    <w:rsid w:val="00493D16"/>
    <w:rsid w:val="00494562"/>
    <w:rsid w:val="004C184C"/>
    <w:rsid w:val="004D634E"/>
    <w:rsid w:val="004D740B"/>
    <w:rsid w:val="004E2310"/>
    <w:rsid w:val="004F11D0"/>
    <w:rsid w:val="005249FF"/>
    <w:rsid w:val="00533C93"/>
    <w:rsid w:val="00535293"/>
    <w:rsid w:val="005641E4"/>
    <w:rsid w:val="005729AD"/>
    <w:rsid w:val="00576E18"/>
    <w:rsid w:val="00594585"/>
    <w:rsid w:val="005945AC"/>
    <w:rsid w:val="005A344B"/>
    <w:rsid w:val="005A5D6A"/>
    <w:rsid w:val="005C2158"/>
    <w:rsid w:val="0060036F"/>
    <w:rsid w:val="00611B85"/>
    <w:rsid w:val="00622047"/>
    <w:rsid w:val="0062207B"/>
    <w:rsid w:val="006445E0"/>
    <w:rsid w:val="0064639C"/>
    <w:rsid w:val="00676619"/>
    <w:rsid w:val="006A31AD"/>
    <w:rsid w:val="006B346B"/>
    <w:rsid w:val="006B4780"/>
    <w:rsid w:val="006C0074"/>
    <w:rsid w:val="006C77AB"/>
    <w:rsid w:val="006D75B4"/>
    <w:rsid w:val="006F50A1"/>
    <w:rsid w:val="00702255"/>
    <w:rsid w:val="007047B7"/>
    <w:rsid w:val="00727BCF"/>
    <w:rsid w:val="00743F44"/>
    <w:rsid w:val="00775CB0"/>
    <w:rsid w:val="007A57CD"/>
    <w:rsid w:val="007C0D88"/>
    <w:rsid w:val="007C71E2"/>
    <w:rsid w:val="007D1756"/>
    <w:rsid w:val="007D1C52"/>
    <w:rsid w:val="007D33AE"/>
    <w:rsid w:val="00826DB1"/>
    <w:rsid w:val="00851BB9"/>
    <w:rsid w:val="00854F9E"/>
    <w:rsid w:val="00882237"/>
    <w:rsid w:val="008D253F"/>
    <w:rsid w:val="008E4AC0"/>
    <w:rsid w:val="009237E3"/>
    <w:rsid w:val="0094746B"/>
    <w:rsid w:val="00965FBD"/>
    <w:rsid w:val="00974EA4"/>
    <w:rsid w:val="009911B9"/>
    <w:rsid w:val="00995388"/>
    <w:rsid w:val="00996D6C"/>
    <w:rsid w:val="009B1F9D"/>
    <w:rsid w:val="009B2065"/>
    <w:rsid w:val="009F03E9"/>
    <w:rsid w:val="00A305C2"/>
    <w:rsid w:val="00A52DBB"/>
    <w:rsid w:val="00A6098E"/>
    <w:rsid w:val="00A702E5"/>
    <w:rsid w:val="00A97075"/>
    <w:rsid w:val="00AA7E9B"/>
    <w:rsid w:val="00AC2AF8"/>
    <w:rsid w:val="00AD6978"/>
    <w:rsid w:val="00AF7132"/>
    <w:rsid w:val="00B05398"/>
    <w:rsid w:val="00B062CB"/>
    <w:rsid w:val="00B12A75"/>
    <w:rsid w:val="00B176B4"/>
    <w:rsid w:val="00B2003C"/>
    <w:rsid w:val="00B36232"/>
    <w:rsid w:val="00B427CB"/>
    <w:rsid w:val="00B64F85"/>
    <w:rsid w:val="00B676F0"/>
    <w:rsid w:val="00B87C12"/>
    <w:rsid w:val="00B95D24"/>
    <w:rsid w:val="00BC1F31"/>
    <w:rsid w:val="00BD2FF9"/>
    <w:rsid w:val="00BD7F5F"/>
    <w:rsid w:val="00BE4C01"/>
    <w:rsid w:val="00C21A39"/>
    <w:rsid w:val="00C22F65"/>
    <w:rsid w:val="00C277C5"/>
    <w:rsid w:val="00C64F94"/>
    <w:rsid w:val="00C7127E"/>
    <w:rsid w:val="00CA5C5F"/>
    <w:rsid w:val="00CB6B85"/>
    <w:rsid w:val="00CE038C"/>
    <w:rsid w:val="00D5255F"/>
    <w:rsid w:val="00D75FC1"/>
    <w:rsid w:val="00DD0693"/>
    <w:rsid w:val="00DD48DD"/>
    <w:rsid w:val="00DF12ED"/>
    <w:rsid w:val="00DF26F3"/>
    <w:rsid w:val="00E22EB8"/>
    <w:rsid w:val="00E31502"/>
    <w:rsid w:val="00EA3636"/>
    <w:rsid w:val="00EB46C9"/>
    <w:rsid w:val="00ED6B76"/>
    <w:rsid w:val="00EE41D0"/>
    <w:rsid w:val="00F05726"/>
    <w:rsid w:val="00F10BC1"/>
    <w:rsid w:val="00F13AD3"/>
    <w:rsid w:val="00F216EE"/>
    <w:rsid w:val="00F21EFD"/>
    <w:rsid w:val="00F35A89"/>
    <w:rsid w:val="00F93A6A"/>
    <w:rsid w:val="00F97C38"/>
    <w:rsid w:val="00FA6251"/>
    <w:rsid w:val="00FC11E9"/>
    <w:rsid w:val="00FF08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85"/>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443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1390992">
          <w:marLeft w:val="-225"/>
          <w:marRight w:val="-225"/>
          <w:marTop w:val="0"/>
          <w:marBottom w:val="0"/>
          <w:divBdr>
            <w:top w:val="none" w:sz="0" w:space="0" w:color="auto"/>
            <w:left w:val="none" w:sz="0" w:space="0" w:color="auto"/>
            <w:bottom w:val="none" w:sz="0" w:space="0" w:color="auto"/>
            <w:right w:val="none" w:sz="0" w:space="0" w:color="auto"/>
          </w:divBdr>
          <w:divsChild>
            <w:div w:id="1843396616">
              <w:marLeft w:val="0"/>
              <w:marRight w:val="0"/>
              <w:marTop w:val="0"/>
              <w:marBottom w:val="0"/>
              <w:divBdr>
                <w:top w:val="none" w:sz="0" w:space="0" w:color="auto"/>
                <w:left w:val="none" w:sz="0" w:space="0" w:color="auto"/>
                <w:bottom w:val="none" w:sz="0" w:space="0" w:color="auto"/>
                <w:right w:val="none" w:sz="0" w:space="0" w:color="auto"/>
              </w:divBdr>
            </w:div>
          </w:divsChild>
        </w:div>
        <w:div w:id="85081314">
          <w:marLeft w:val="-225"/>
          <w:marRight w:val="-225"/>
          <w:marTop w:val="0"/>
          <w:marBottom w:val="0"/>
          <w:divBdr>
            <w:top w:val="none" w:sz="0" w:space="0" w:color="auto"/>
            <w:left w:val="none" w:sz="0" w:space="0" w:color="auto"/>
            <w:bottom w:val="none" w:sz="0" w:space="0" w:color="auto"/>
            <w:right w:val="none" w:sz="0" w:space="0" w:color="auto"/>
          </w:divBdr>
          <w:divsChild>
            <w:div w:id="1588230823">
              <w:marLeft w:val="0"/>
              <w:marRight w:val="0"/>
              <w:marTop w:val="0"/>
              <w:marBottom w:val="0"/>
              <w:divBdr>
                <w:top w:val="none" w:sz="0" w:space="0" w:color="auto"/>
                <w:left w:val="none" w:sz="0" w:space="0" w:color="auto"/>
                <w:bottom w:val="none" w:sz="0" w:space="0" w:color="auto"/>
                <w:right w:val="none" w:sz="0" w:space="0" w:color="auto"/>
              </w:divBdr>
            </w:div>
          </w:divsChild>
        </w:div>
        <w:div w:id="2042396037">
          <w:marLeft w:val="-225"/>
          <w:marRight w:val="-225"/>
          <w:marTop w:val="0"/>
          <w:marBottom w:val="0"/>
          <w:divBdr>
            <w:top w:val="none" w:sz="0" w:space="0" w:color="auto"/>
            <w:left w:val="none" w:sz="0" w:space="0" w:color="auto"/>
            <w:bottom w:val="none" w:sz="0" w:space="0" w:color="auto"/>
            <w:right w:val="none" w:sz="0" w:space="0" w:color="auto"/>
          </w:divBdr>
          <w:divsChild>
            <w:div w:id="1243182965">
              <w:marLeft w:val="0"/>
              <w:marRight w:val="0"/>
              <w:marTop w:val="0"/>
              <w:marBottom w:val="0"/>
              <w:divBdr>
                <w:top w:val="none" w:sz="0" w:space="0" w:color="auto"/>
                <w:left w:val="none" w:sz="0" w:space="0" w:color="auto"/>
                <w:bottom w:val="none" w:sz="0" w:space="0" w:color="auto"/>
                <w:right w:val="none" w:sz="0" w:space="0" w:color="auto"/>
              </w:divBdr>
            </w:div>
          </w:divsChild>
        </w:div>
        <w:div w:id="1847011235">
          <w:marLeft w:val="-225"/>
          <w:marRight w:val="-225"/>
          <w:marTop w:val="0"/>
          <w:marBottom w:val="0"/>
          <w:divBdr>
            <w:top w:val="none" w:sz="0" w:space="0" w:color="auto"/>
            <w:left w:val="none" w:sz="0" w:space="0" w:color="auto"/>
            <w:bottom w:val="none" w:sz="0" w:space="0" w:color="auto"/>
            <w:right w:val="none" w:sz="0" w:space="0" w:color="auto"/>
          </w:divBdr>
          <w:divsChild>
            <w:div w:id="1764833734">
              <w:marLeft w:val="0"/>
              <w:marRight w:val="0"/>
              <w:marTop w:val="0"/>
              <w:marBottom w:val="0"/>
              <w:divBdr>
                <w:top w:val="none" w:sz="0" w:space="0" w:color="auto"/>
                <w:left w:val="none" w:sz="0" w:space="0" w:color="auto"/>
                <w:bottom w:val="none" w:sz="0" w:space="0" w:color="auto"/>
                <w:right w:val="none" w:sz="0" w:space="0" w:color="auto"/>
              </w:divBdr>
              <w:divsChild>
                <w:div w:id="306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736" TargetMode="External"/><Relationship Id="rId13" Type="http://schemas.openxmlformats.org/officeDocument/2006/relationships/hyperlink" Target="https://www.retsinformation.dk/eli/retsinfo/2024/9461" TargetMode="External"/><Relationship Id="rId18" Type="http://schemas.openxmlformats.org/officeDocument/2006/relationships/hyperlink" Target="https://eur-lex.europa.eu/legal-content/DA/TXT/?uri=OJ:L_202401773" TargetMode="External"/><Relationship Id="rId3" Type="http://schemas.openxmlformats.org/officeDocument/2006/relationships/customXml" Target="../customXml/item3.xml"/><Relationship Id="rId21" Type="http://schemas.openxmlformats.org/officeDocument/2006/relationships/hyperlink" Target="mailto:cas@capitallawcph.dk" TargetMode="External"/><Relationship Id="rId7" Type="http://schemas.openxmlformats.org/officeDocument/2006/relationships/webSettings" Target="webSettings.xml"/><Relationship Id="rId12" Type="http://schemas.openxmlformats.org/officeDocument/2006/relationships/hyperlink" Target="https://www.retsinformation.dk/eli/retsinfo/2024/9460" TargetMode="External"/><Relationship Id="rId17" Type="http://schemas.openxmlformats.org/officeDocument/2006/relationships/hyperlink" Target="https://eur-lex.europa.eu/legal-content/DA/TXT/?uri=OJ:L_202401772" TargetMode="External"/><Relationship Id="rId2" Type="http://schemas.openxmlformats.org/officeDocument/2006/relationships/customXml" Target="../customXml/item2.xml"/><Relationship Id="rId16" Type="http://schemas.openxmlformats.org/officeDocument/2006/relationships/hyperlink" Target="https://eur-lex.europa.eu/legal-content/DA/TXT/?uri=OJ:L_202401771"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4/85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ur-lex.europa.eu/legal-content/DA/TXT/?uri=OJ:L_202401624" TargetMode="External"/><Relationship Id="rId23" Type="http://schemas.openxmlformats.org/officeDocument/2006/relationships/fontTable" Target="fontTable.xml"/><Relationship Id="rId10" Type="http://schemas.openxmlformats.org/officeDocument/2006/relationships/hyperlink" Target="https://www.retsinformation.dk/eli/lta/2024/865" TargetMode="External"/><Relationship Id="rId19" Type="http://schemas.openxmlformats.org/officeDocument/2006/relationships/hyperlink" Target="https://eur-lex.europa.eu/legal-content/DA/TXT/?uri=OJ:L_202401774" TargetMode="External"/><Relationship Id="rId4" Type="http://schemas.openxmlformats.org/officeDocument/2006/relationships/numbering" Target="numbering.xml"/><Relationship Id="rId9" Type="http://schemas.openxmlformats.org/officeDocument/2006/relationships/hyperlink" Target="https://www.retsinformation.dk/eli/lta/2024/760" TargetMode="External"/><Relationship Id="rId14" Type="http://schemas.openxmlformats.org/officeDocument/2006/relationships/hyperlink" Target="https://eur-lex.europa.eu/legal-content/DA/TXT/?uri=OJ:L_202401620" TargetMode="External"/><Relationship Id="rId2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1495</Words>
  <Characters>9125</Characters>
  <Application>Microsoft Office Word</Application>
  <DocSecurity>0</DocSecurity>
  <Lines>76</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138</cp:revision>
  <cp:lastPrinted>2024-07-01T09:27:00Z</cp:lastPrinted>
  <dcterms:created xsi:type="dcterms:W3CDTF">2024-06-27T08:10:00Z</dcterms:created>
  <dcterms:modified xsi:type="dcterms:W3CDTF">2024-07-01T09:38:00Z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