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6161C05A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617539">
        <w:t>februar</w:t>
      </w:r>
      <w:r w:rsidRPr="005A5267">
        <w:t xml:space="preserve"> </w:t>
      </w:r>
      <w:r>
        <w:t xml:space="preserve">måned </w:t>
      </w:r>
      <w:r w:rsidRPr="005A5267">
        <w:t>202</w:t>
      </w:r>
      <w:r w:rsidR="004044A5"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1F81DC5A" w14:textId="77777777" w:rsidR="00BE4C01" w:rsidRDefault="00BE4C01"/>
          <w:p w14:paraId="198B3977" w14:textId="47103C3E" w:rsidR="005C271D" w:rsidRDefault="002D04DD">
            <w:r>
              <w:t>O</w:t>
            </w:r>
            <w:r w:rsidR="00965E4E">
              <w:t>pdatere</w:t>
            </w:r>
            <w:r w:rsidR="00AD187E">
              <w:t>t</w:t>
            </w:r>
            <w:r w:rsidR="00965E4E">
              <w:t xml:space="preserve"> </w:t>
            </w:r>
            <w:r w:rsidR="00A35947">
              <w:t xml:space="preserve">redegørelse om praksis for egnethedsvurderinger: </w:t>
            </w:r>
            <w:hyperlink w:anchor="A" w:history="1">
              <w:r w:rsidR="00A35947" w:rsidRPr="00A35947">
                <w:rPr>
                  <w:rStyle w:val="Hyperlink"/>
                </w:rPr>
                <w:t>link</w:t>
              </w:r>
            </w:hyperlink>
          </w:p>
          <w:p w14:paraId="65CA396C" w14:textId="77777777" w:rsidR="00A35947" w:rsidRDefault="00A35947"/>
          <w:p w14:paraId="0171F335" w14:textId="333AECB7" w:rsidR="00965E4E" w:rsidRDefault="00CD38E3">
            <w:r>
              <w:t xml:space="preserve">Niveau 2-forordning </w:t>
            </w:r>
            <w:r w:rsidR="000519F3">
              <w:t>under DORA</w:t>
            </w:r>
            <w:r w:rsidR="000519F3">
              <w:t xml:space="preserve"> </w:t>
            </w:r>
            <w:r>
              <w:t>om indberetninger</w:t>
            </w:r>
            <w:r w:rsidR="00844386">
              <w:t xml:space="preserve">: </w:t>
            </w:r>
            <w:hyperlink w:anchor="B" w:history="1">
              <w:r w:rsidR="00826647" w:rsidRPr="00826647">
                <w:rPr>
                  <w:rStyle w:val="Hyperlink"/>
                </w:rPr>
                <w:t>link</w:t>
              </w:r>
            </w:hyperlink>
          </w:p>
          <w:p w14:paraId="04C1DA13" w14:textId="77777777" w:rsidR="00A35947" w:rsidRDefault="00A35947"/>
          <w:p w14:paraId="7D0FF8F0" w14:textId="76A36A62" w:rsidR="003E5450" w:rsidRDefault="003E5450">
            <w:r>
              <w:t xml:space="preserve">Niveau 2-forordning </w:t>
            </w:r>
            <w:r w:rsidR="000519F3">
              <w:t>under DORA</w:t>
            </w:r>
            <w:r w:rsidR="000519F3">
              <w:t xml:space="preserve"> </w:t>
            </w:r>
            <w:r>
              <w:t xml:space="preserve">om </w:t>
            </w:r>
            <w:r>
              <w:t>format</w:t>
            </w:r>
            <w:r w:rsidR="00A25776">
              <w:t xml:space="preserve"> m.v.</w:t>
            </w:r>
            <w:r>
              <w:t xml:space="preserve"> for </w:t>
            </w:r>
            <w:r>
              <w:t>indberetninger:</w:t>
            </w:r>
            <w:r w:rsidR="00A25776">
              <w:t xml:space="preserve"> </w:t>
            </w:r>
            <w:hyperlink w:anchor="C" w:history="1">
              <w:r w:rsidR="00A25776" w:rsidRPr="00A25776">
                <w:rPr>
                  <w:rStyle w:val="Hyperlink"/>
                </w:rPr>
                <w:t>link</w:t>
              </w:r>
            </w:hyperlink>
          </w:p>
          <w:p w14:paraId="5E52B633" w14:textId="77777777" w:rsidR="006F417C" w:rsidRDefault="006F417C"/>
          <w:p w14:paraId="65EB8FAE" w14:textId="66F5A84B" w:rsidR="006F417C" w:rsidRDefault="006F417C">
            <w:r>
              <w:t>Niveau 2-forordning</w:t>
            </w:r>
            <w:r w:rsidR="000519F3">
              <w:t xml:space="preserve"> </w:t>
            </w:r>
            <w:r w:rsidR="007B35BB">
              <w:t xml:space="preserve">om meddelelse </w:t>
            </w:r>
            <w:r w:rsidR="00AC3CCA">
              <w:t xml:space="preserve">inden levering af </w:t>
            </w:r>
            <w:proofErr w:type="spellStart"/>
            <w:r w:rsidR="00AC3CCA">
              <w:t>kryptoaktivtjenester</w:t>
            </w:r>
            <w:proofErr w:type="spellEnd"/>
            <w:r w:rsidR="00562F0B">
              <w:t xml:space="preserve">: </w:t>
            </w:r>
            <w:hyperlink w:anchor="D" w:history="1">
              <w:r w:rsidR="00562F0B" w:rsidRPr="00562F0B">
                <w:rPr>
                  <w:rStyle w:val="Hyperlink"/>
                </w:rPr>
                <w:t>link</w:t>
              </w:r>
            </w:hyperlink>
          </w:p>
          <w:p w14:paraId="265D2CA4" w14:textId="77777777" w:rsidR="003D0345" w:rsidRDefault="003D0345"/>
          <w:p w14:paraId="3E45908F" w14:textId="79463A35" w:rsidR="003D0345" w:rsidRDefault="004D11C0">
            <w:r>
              <w:t>Niveau 2-forordning om</w:t>
            </w:r>
            <w:r w:rsidR="00502DF5">
              <w:t xml:space="preserve"> format m.v. for</w:t>
            </w:r>
            <w:r>
              <w:t xml:space="preserve"> meddelelse inden levering af </w:t>
            </w:r>
            <w:proofErr w:type="spellStart"/>
            <w:r>
              <w:t>kryptoaktivtjenester</w:t>
            </w:r>
            <w:proofErr w:type="spellEnd"/>
            <w:r w:rsidR="003D0345">
              <w:t>:</w:t>
            </w:r>
            <w:r w:rsidR="004143F5">
              <w:t xml:space="preserve"> </w:t>
            </w:r>
            <w:hyperlink w:anchor="E" w:history="1">
              <w:r w:rsidR="004143F5" w:rsidRPr="004143F5">
                <w:rPr>
                  <w:rStyle w:val="Hyperlink"/>
                </w:rPr>
                <w:t>link</w:t>
              </w:r>
            </w:hyperlink>
          </w:p>
          <w:p w14:paraId="32DD03AC" w14:textId="77777777" w:rsidR="005C271D" w:rsidRDefault="005C271D"/>
          <w:p w14:paraId="07641916" w14:textId="3A338EC7" w:rsidR="00EC7E92" w:rsidRDefault="00EC7E92">
            <w:r>
              <w:t xml:space="preserve">Nye gennemsigtighedsberegninger fra ESMA: </w:t>
            </w:r>
            <w:hyperlink w:anchor="F" w:history="1">
              <w:r w:rsidRPr="00EC7E92">
                <w:rPr>
                  <w:rStyle w:val="Hyperlink"/>
                </w:rPr>
                <w:t>link</w:t>
              </w:r>
            </w:hyperlink>
          </w:p>
          <w:p w14:paraId="774E809C" w14:textId="77777777" w:rsidR="00EC7E92" w:rsidRDefault="00EC7E92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40AC41FF" w14:textId="77777777" w:rsidR="005C271D" w:rsidRDefault="005C271D"/>
          <w:p w14:paraId="032294AD" w14:textId="77777777" w:rsidR="00BE4C01" w:rsidRDefault="005C271D">
            <w:r>
              <w:t>(Intet nyt)</w:t>
            </w:r>
          </w:p>
          <w:p w14:paraId="1136A53C" w14:textId="515B8FE6" w:rsidR="005C271D" w:rsidRDefault="005C271D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790491AB" w14:textId="77777777" w:rsidR="00BE4C01" w:rsidRDefault="00BE4C01"/>
          <w:p w14:paraId="0762BC1E" w14:textId="77777777" w:rsidR="00C20824" w:rsidRPr="00CE3D01" w:rsidRDefault="00C20824" w:rsidP="00C20824">
            <w:pPr>
              <w:jc w:val="both"/>
              <w:rPr>
                <w:b/>
                <w:bCs/>
              </w:rPr>
            </w:pPr>
            <w:bookmarkStart w:id="0" w:name="A"/>
            <w:r w:rsidRPr="00CE3D01">
              <w:rPr>
                <w:b/>
                <w:bCs/>
              </w:rPr>
              <w:t>Praksis for Finanstilsynets egnethedsvurderinger 2025</w:t>
            </w:r>
          </w:p>
          <w:bookmarkEnd w:id="0"/>
          <w:p w14:paraId="38291754" w14:textId="77777777" w:rsidR="00AE6A7B" w:rsidRDefault="00AE6A7B" w:rsidP="00C20824">
            <w:pPr>
              <w:jc w:val="both"/>
            </w:pPr>
          </w:p>
          <w:p w14:paraId="71D78869" w14:textId="2CA04FDA" w:rsidR="00C20824" w:rsidRPr="00CE3D01" w:rsidRDefault="00C20824" w:rsidP="00C20824">
            <w:pPr>
              <w:jc w:val="both"/>
            </w:pPr>
            <w:r w:rsidRPr="00CE3D01">
              <w:t>Finanstilsynet har opdateret</w:t>
            </w:r>
            <w:r w:rsidR="00930B95">
              <w:t xml:space="preserve"> sin</w:t>
            </w:r>
            <w:r w:rsidRPr="00CE3D01">
              <w:t xml:space="preserve"> redegørelse</w:t>
            </w:r>
            <w:r w:rsidR="00930B95">
              <w:t xml:space="preserve"> fra 2024</w:t>
            </w:r>
            <w:r w:rsidRPr="00CE3D01">
              <w:t xml:space="preserve"> om praksis for egnethedsvurderinger af ledende medarbejdere. </w:t>
            </w:r>
            <w:r w:rsidR="003B7544">
              <w:t>I redegørelsen er indarbejdet ny praksis fra det forgangne år</w:t>
            </w:r>
            <w:r w:rsidRPr="00CE3D01">
              <w:t>.</w:t>
            </w:r>
          </w:p>
          <w:p w14:paraId="52640627" w14:textId="77777777" w:rsidR="00AE6A7B" w:rsidRDefault="00AE6A7B" w:rsidP="00C20824">
            <w:pPr>
              <w:jc w:val="both"/>
            </w:pPr>
          </w:p>
          <w:p w14:paraId="74992937" w14:textId="1B70D33A" w:rsidR="00C20824" w:rsidRDefault="00C20824" w:rsidP="00C20824">
            <w:pPr>
              <w:jc w:val="both"/>
            </w:pPr>
            <w:r>
              <w:t xml:space="preserve">(Offentliggjort den 5. februar 2025, </w:t>
            </w:r>
            <w:hyperlink r:id="rId9" w:history="1">
              <w:r w:rsidRPr="003B62A8">
                <w:rPr>
                  <w:rStyle w:val="Hyperlink"/>
                </w:rPr>
                <w:t>lin</w:t>
              </w:r>
              <w:r w:rsidRPr="003B62A8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2BE89B52" w14:textId="77777777" w:rsidR="00C20824" w:rsidRDefault="00C20824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029C70E9" w14:textId="77777777" w:rsidR="00BE4C01" w:rsidRDefault="00BE4C01"/>
          <w:p w14:paraId="14A7AFE2" w14:textId="77777777" w:rsidR="00A35947" w:rsidRDefault="00A35947" w:rsidP="00A35947">
            <w:r>
              <w:t>(Intet nyt)</w:t>
            </w:r>
          </w:p>
          <w:p w14:paraId="010E559B" w14:textId="77777777" w:rsidR="00A35947" w:rsidRDefault="00A35947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46BA9486" w14:textId="77777777" w:rsidR="00BE4C01" w:rsidRDefault="00BE4C01"/>
          <w:p w14:paraId="080D2236" w14:textId="77777777" w:rsidR="00B84E03" w:rsidRDefault="00B84E03" w:rsidP="00B84E03">
            <w:pPr>
              <w:jc w:val="both"/>
              <w:rPr>
                <w:b/>
                <w:bCs/>
              </w:rPr>
            </w:pPr>
            <w:bookmarkStart w:id="1" w:name="B"/>
            <w:r w:rsidRPr="007A75EC">
              <w:rPr>
                <w:b/>
                <w:bCs/>
              </w:rPr>
              <w:t xml:space="preserve">Kommissionens delegerede forordning (EU) 2025/301 af 23. oktober 2024 om supplerende regler til Europa-Parlamentets og Rådets forordning (EU) 2022/2554 for så vidt angår reguleringsmæssige tekniske standarder, der præciserer indholdet af og fristerne for den indledende underretning, den foreløbige og endelige rapport om større IKT-relaterede hændelser og indholdet af den frivillige underretning om væsentlige </w:t>
            </w:r>
            <w:proofErr w:type="spellStart"/>
            <w:r w:rsidRPr="007A75EC">
              <w:rPr>
                <w:b/>
                <w:bCs/>
              </w:rPr>
              <w:t>cybertrusler</w:t>
            </w:r>
            <w:proofErr w:type="spellEnd"/>
          </w:p>
          <w:bookmarkEnd w:id="1"/>
          <w:p w14:paraId="721BCCA2" w14:textId="77777777" w:rsidR="00ED1E13" w:rsidRDefault="00ED1E13" w:rsidP="00B84E03">
            <w:pPr>
              <w:jc w:val="both"/>
            </w:pPr>
          </w:p>
          <w:p w14:paraId="6B54CDF0" w14:textId="6D800CBE" w:rsidR="00B84E03" w:rsidRPr="007A75EC" w:rsidRDefault="00B84E03" w:rsidP="00B84E03">
            <w:pPr>
              <w:jc w:val="both"/>
            </w:pPr>
            <w:r>
              <w:t>Denne niveau 2-forordning under DORA fastsætter nærmere regler om rapportering om IKT-relaterede hændelser</w:t>
            </w:r>
            <w:r w:rsidR="00234415">
              <w:t xml:space="preserve"> og </w:t>
            </w:r>
            <w:r w:rsidR="00234415" w:rsidRPr="00234415">
              <w:t>frivillige underretning</w:t>
            </w:r>
            <w:r w:rsidR="00234415">
              <w:t>er</w:t>
            </w:r>
            <w:r w:rsidR="00234415" w:rsidRPr="00234415">
              <w:t xml:space="preserve"> om væsentlige </w:t>
            </w:r>
            <w:proofErr w:type="spellStart"/>
            <w:r w:rsidR="00234415" w:rsidRPr="00234415">
              <w:t>cybertrusler</w:t>
            </w:r>
            <w:proofErr w:type="spellEnd"/>
            <w:r w:rsidR="00822B12">
              <w:t>, som foretages af finansielle enheder (herunder fondsmæglerselskaber)</w:t>
            </w:r>
            <w:r>
              <w:t>.</w:t>
            </w:r>
            <w:r w:rsidR="00ED1E13">
              <w:t xml:space="preserve"> </w:t>
            </w:r>
            <w:r>
              <w:t xml:space="preserve">Forordningen træder i kraft den </w:t>
            </w:r>
            <w:r w:rsidRPr="00CF7A38">
              <w:t>12</w:t>
            </w:r>
            <w:r>
              <w:t xml:space="preserve">. marts </w:t>
            </w:r>
            <w:r w:rsidRPr="00CF7A38">
              <w:t>2025</w:t>
            </w:r>
            <w:r>
              <w:t>.</w:t>
            </w:r>
          </w:p>
          <w:p w14:paraId="4F5F7B2E" w14:textId="77777777" w:rsidR="00ED1E13" w:rsidRDefault="00ED1E13" w:rsidP="00B84E03">
            <w:pPr>
              <w:jc w:val="both"/>
            </w:pPr>
          </w:p>
          <w:p w14:paraId="2F6D697F" w14:textId="2F86545F" w:rsidR="00B84E03" w:rsidRDefault="00B84E03" w:rsidP="00B84E03">
            <w:pPr>
              <w:jc w:val="both"/>
            </w:pPr>
            <w:r>
              <w:lastRenderedPageBreak/>
              <w:t xml:space="preserve">(Offentliggjort den 20. februar 2025, </w:t>
            </w:r>
            <w:hyperlink r:id="rId10" w:history="1">
              <w:r w:rsidRPr="00F345DF">
                <w:rPr>
                  <w:rStyle w:val="Hyperlink"/>
                </w:rPr>
                <w:t>lin</w:t>
              </w:r>
              <w:r w:rsidRPr="00F345DF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137509FA" w14:textId="77777777" w:rsidR="00B84E03" w:rsidRDefault="00B84E03" w:rsidP="00B84E03">
            <w:pPr>
              <w:jc w:val="both"/>
            </w:pPr>
          </w:p>
          <w:p w14:paraId="0C0C7153" w14:textId="77777777" w:rsidR="00B84E03" w:rsidRDefault="00B84E03" w:rsidP="00B84E03">
            <w:pPr>
              <w:jc w:val="both"/>
              <w:rPr>
                <w:b/>
                <w:bCs/>
              </w:rPr>
            </w:pPr>
            <w:bookmarkStart w:id="2" w:name="C"/>
            <w:r w:rsidRPr="00CF7A38">
              <w:rPr>
                <w:b/>
                <w:bCs/>
              </w:rPr>
              <w:t xml:space="preserve">Kommissionens gennemførelsesforordning (EU) 2025/302 af 23. oktober 2024 om gennemførelsesmæssige tekniske standarder for anvendelsen af Europa-Parlamentets og Rådets forordning (EU) 2022/2554 for så vidt angår de standardformularer, -modeller og -procedurer, som de finansielle enheder skal bruge til indberetning af en større IKT-relateret hændelse og til underretning om en væsentlig </w:t>
            </w:r>
            <w:proofErr w:type="spellStart"/>
            <w:r w:rsidRPr="00CF7A38">
              <w:rPr>
                <w:b/>
                <w:bCs/>
              </w:rPr>
              <w:t>cybertrussel</w:t>
            </w:r>
            <w:proofErr w:type="spellEnd"/>
          </w:p>
          <w:bookmarkEnd w:id="2"/>
          <w:p w14:paraId="009BFAC9" w14:textId="77777777" w:rsidR="00ED1E13" w:rsidRDefault="00ED1E13" w:rsidP="00B84E03">
            <w:pPr>
              <w:jc w:val="both"/>
            </w:pPr>
          </w:p>
          <w:p w14:paraId="20E43699" w14:textId="4CC1A540" w:rsidR="00B84E03" w:rsidRDefault="00B84E03" w:rsidP="00B84E03">
            <w:pPr>
              <w:jc w:val="both"/>
            </w:pPr>
            <w:r>
              <w:t>Denne niveau 2-forordning under DORA fastsætter nærmere regler om rapportering om IKT-relaterede hændelser.</w:t>
            </w:r>
            <w:r w:rsidR="00CA49CB">
              <w:t xml:space="preserve"> </w:t>
            </w:r>
            <w:r>
              <w:t xml:space="preserve">Forordningen træder i kraft den </w:t>
            </w:r>
            <w:r w:rsidRPr="00CF7A38">
              <w:t>12</w:t>
            </w:r>
            <w:r>
              <w:t xml:space="preserve">. marts </w:t>
            </w:r>
            <w:r w:rsidRPr="00CF7A38">
              <w:t>2025</w:t>
            </w:r>
            <w:r>
              <w:t>.</w:t>
            </w:r>
          </w:p>
          <w:p w14:paraId="1B159256" w14:textId="77777777" w:rsidR="00CA49CB" w:rsidRDefault="00CA49CB" w:rsidP="00B84E03">
            <w:pPr>
              <w:jc w:val="both"/>
            </w:pPr>
          </w:p>
          <w:p w14:paraId="6E0F3D8F" w14:textId="3BED5653" w:rsidR="00B84E03" w:rsidRDefault="00B84E03" w:rsidP="00B84E03">
            <w:pPr>
              <w:jc w:val="both"/>
            </w:pPr>
            <w:r>
              <w:t xml:space="preserve">(Offentliggjort den 20. februar 2025, </w:t>
            </w:r>
            <w:hyperlink r:id="rId11" w:history="1">
              <w:r w:rsidRPr="00F345DF">
                <w:rPr>
                  <w:rStyle w:val="Hyperlink"/>
                </w:rPr>
                <w:t>lin</w:t>
              </w:r>
              <w:r w:rsidRPr="00F345DF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632806D9" w14:textId="77777777" w:rsidR="00A17BB9" w:rsidRDefault="00A17BB9" w:rsidP="00A17BB9">
            <w:pPr>
              <w:jc w:val="both"/>
            </w:pPr>
          </w:p>
          <w:p w14:paraId="119B90B8" w14:textId="77777777" w:rsidR="00A17BB9" w:rsidRDefault="00A17BB9" w:rsidP="00A17BB9">
            <w:pPr>
              <w:jc w:val="both"/>
              <w:rPr>
                <w:b/>
                <w:bCs/>
              </w:rPr>
            </w:pPr>
            <w:bookmarkStart w:id="3" w:name="D"/>
            <w:r w:rsidRPr="00CF7A38">
              <w:rPr>
                <w:b/>
                <w:bCs/>
              </w:rPr>
              <w:t xml:space="preserve">Kommissionens delegerede forordning (EU) 2025/303 af 31. oktober 2024 om supplerende regler til Europa-Parlamentets og Rådets forordning (EU) 2023/1114 for så vidt angår reguleringsmæssige tekniske standarder, der præciserer de oplysninger, der skal fremlægges af visse finansielle enheder i meddelelsen om deres hensigt om at levere </w:t>
            </w:r>
            <w:proofErr w:type="spellStart"/>
            <w:r w:rsidRPr="00CF7A38">
              <w:rPr>
                <w:b/>
                <w:bCs/>
              </w:rPr>
              <w:t>kryptoaktivtjenester</w:t>
            </w:r>
            <w:proofErr w:type="spellEnd"/>
            <w:r w:rsidRPr="00CF7A38">
              <w:rPr>
                <w:b/>
                <w:bCs/>
              </w:rPr>
              <w:t xml:space="preserve"> </w:t>
            </w:r>
          </w:p>
          <w:bookmarkEnd w:id="3"/>
          <w:p w14:paraId="48139FFC" w14:textId="77777777" w:rsidR="00CA49CB" w:rsidRDefault="00CA49CB" w:rsidP="00A17BB9">
            <w:pPr>
              <w:jc w:val="both"/>
            </w:pPr>
          </w:p>
          <w:p w14:paraId="12FF5205" w14:textId="31D18BDC" w:rsidR="00A17BB9" w:rsidRPr="007A75EC" w:rsidRDefault="00A17BB9" w:rsidP="00A17BB9">
            <w:pPr>
              <w:jc w:val="both"/>
            </w:pPr>
            <w:r>
              <w:t>Denne niveau 2-forordning under MICAR fastsætter nærmere regler om de oplysninger, der skal indgives til den kompetente myndighed af enheder</w:t>
            </w:r>
            <w:r w:rsidR="009244AF">
              <w:t xml:space="preserve"> (herunder fondsmæglerselskaber)</w:t>
            </w:r>
            <w:r>
              <w:t xml:space="preserve">, der ønsker at levere </w:t>
            </w:r>
            <w:proofErr w:type="spellStart"/>
            <w:r>
              <w:t>kryptoaktivtjenester</w:t>
            </w:r>
            <w:proofErr w:type="spellEnd"/>
            <w:r>
              <w:t>.</w:t>
            </w:r>
            <w:r w:rsidR="00266A5A">
              <w:t xml:space="preserve"> </w:t>
            </w:r>
            <w:r>
              <w:t xml:space="preserve">Forordningen træder i kraft den </w:t>
            </w:r>
            <w:r w:rsidRPr="00CF7A38">
              <w:t>12</w:t>
            </w:r>
            <w:r>
              <w:t xml:space="preserve">. marts </w:t>
            </w:r>
            <w:r w:rsidRPr="00CF7A38">
              <w:t>2025</w:t>
            </w:r>
            <w:r>
              <w:t>.</w:t>
            </w:r>
          </w:p>
          <w:p w14:paraId="3794253D" w14:textId="77777777" w:rsidR="00CA49CB" w:rsidRDefault="00CA49CB" w:rsidP="00A17BB9">
            <w:pPr>
              <w:jc w:val="both"/>
            </w:pPr>
          </w:p>
          <w:p w14:paraId="67FA45E8" w14:textId="33ED7451" w:rsidR="00A17BB9" w:rsidRDefault="00A17BB9" w:rsidP="00A17BB9">
            <w:pPr>
              <w:jc w:val="both"/>
            </w:pPr>
            <w:r>
              <w:t xml:space="preserve">(Offentliggjort den 20. februar 2025, </w:t>
            </w:r>
            <w:hyperlink r:id="rId12" w:history="1">
              <w:r w:rsidRPr="00F345DF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758C90D" w14:textId="77777777" w:rsidR="00A17BB9" w:rsidRDefault="00A17BB9" w:rsidP="00A17BB9">
            <w:pPr>
              <w:jc w:val="both"/>
            </w:pPr>
          </w:p>
          <w:p w14:paraId="74259D2F" w14:textId="77777777" w:rsidR="00A17BB9" w:rsidRDefault="00A17BB9" w:rsidP="00A17BB9">
            <w:pPr>
              <w:jc w:val="both"/>
              <w:rPr>
                <w:b/>
                <w:bCs/>
              </w:rPr>
            </w:pPr>
            <w:bookmarkStart w:id="4" w:name="E"/>
            <w:r w:rsidRPr="00CF7A38">
              <w:rPr>
                <w:b/>
                <w:bCs/>
              </w:rPr>
              <w:t xml:space="preserve">Kommissionens gennemførelsesforordning (EU) 2025/304 af 31. oktober 2024 om gennemførelsesmæssige tekniske standarder for anvendelse af Europa-Parlamentets og Rådets forordning (EU) 2023/1114 for så vidt angår standardformularer, -modeller og -procedurer for meddelelser fra visse finansielle enheder om deres hensigt om at udbyde </w:t>
            </w:r>
            <w:proofErr w:type="spellStart"/>
            <w:r w:rsidRPr="00CF7A38">
              <w:rPr>
                <w:b/>
                <w:bCs/>
              </w:rPr>
              <w:t>kryptoaktivtjenester</w:t>
            </w:r>
            <w:proofErr w:type="spellEnd"/>
          </w:p>
          <w:bookmarkEnd w:id="4"/>
          <w:p w14:paraId="699E8728" w14:textId="77777777" w:rsidR="009244AF" w:rsidRDefault="009244AF" w:rsidP="00A17BB9">
            <w:pPr>
              <w:jc w:val="both"/>
            </w:pPr>
          </w:p>
          <w:p w14:paraId="036A4571" w14:textId="64AC3CE6" w:rsidR="00A17BB9" w:rsidRDefault="00A17BB9" w:rsidP="00A17BB9">
            <w:pPr>
              <w:jc w:val="both"/>
            </w:pPr>
            <w:r>
              <w:t>Denne niveau 2-forordning under MICAR fastsætter nærmere regler om de oplysninger, der skal indgives til den kompetente myndighed af enheder</w:t>
            </w:r>
            <w:r w:rsidR="00266A5A">
              <w:t xml:space="preserve"> </w:t>
            </w:r>
            <w:r w:rsidR="00266A5A">
              <w:t>(herunder fondsmæglerselskaber)</w:t>
            </w:r>
            <w:r>
              <w:t xml:space="preserve">, der ønsker at levere </w:t>
            </w:r>
            <w:proofErr w:type="spellStart"/>
            <w:r>
              <w:t>kryptoaktivtjenester</w:t>
            </w:r>
            <w:proofErr w:type="spellEnd"/>
            <w:r>
              <w:t>.</w:t>
            </w:r>
            <w:r w:rsidR="00266A5A">
              <w:t xml:space="preserve"> </w:t>
            </w:r>
            <w:r>
              <w:t xml:space="preserve">Forordningen træder i kraft den </w:t>
            </w:r>
            <w:r w:rsidRPr="00CF7A38">
              <w:t>12</w:t>
            </w:r>
            <w:r>
              <w:t xml:space="preserve">. marts </w:t>
            </w:r>
            <w:r w:rsidRPr="00CF7A38">
              <w:t>2025</w:t>
            </w:r>
            <w:r>
              <w:t>.</w:t>
            </w:r>
          </w:p>
          <w:p w14:paraId="4A6243E5" w14:textId="77777777" w:rsidR="00266A5A" w:rsidRPr="007A75EC" w:rsidRDefault="00266A5A" w:rsidP="00A17BB9">
            <w:pPr>
              <w:jc w:val="both"/>
            </w:pPr>
          </w:p>
          <w:p w14:paraId="1EF6B58D" w14:textId="77777777" w:rsidR="00A17BB9" w:rsidRDefault="00A17BB9" w:rsidP="00A17BB9">
            <w:pPr>
              <w:jc w:val="both"/>
            </w:pPr>
            <w:r>
              <w:t xml:space="preserve">(Offentliggjort den 20. februar 2025, </w:t>
            </w:r>
            <w:hyperlink r:id="rId13" w:history="1">
              <w:r w:rsidRPr="00F345DF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570C0B58" w14:textId="77777777" w:rsidR="004D5CE1" w:rsidRDefault="004D5CE1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4A26A0F7" w14:textId="77777777" w:rsidR="00BE4C01" w:rsidRDefault="00BE4C01"/>
          <w:p w14:paraId="3E3D4000" w14:textId="77777777" w:rsidR="00A35947" w:rsidRDefault="00A35947" w:rsidP="00A35947">
            <w:r>
              <w:t>(Intet nyt)</w:t>
            </w:r>
          </w:p>
          <w:p w14:paraId="5E1E2D1B" w14:textId="77777777" w:rsidR="00A35947" w:rsidRDefault="00A35947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:rsidRPr="00565D9A" w14:paraId="7F315866" w14:textId="77777777" w:rsidTr="00BE4C01">
        <w:tc>
          <w:tcPr>
            <w:tcW w:w="9628" w:type="dxa"/>
          </w:tcPr>
          <w:p w14:paraId="6343B983" w14:textId="77777777" w:rsidR="007053A3" w:rsidRDefault="007053A3"/>
          <w:p w14:paraId="5C56EE33" w14:textId="77777777" w:rsidR="0062437B" w:rsidRPr="00301E4A" w:rsidRDefault="0062437B" w:rsidP="001F38EB">
            <w:pPr>
              <w:rPr>
                <w:b/>
                <w:bCs/>
              </w:rPr>
            </w:pPr>
            <w:bookmarkStart w:id="5" w:name="F"/>
            <w:r w:rsidRPr="00301E4A">
              <w:rPr>
                <w:b/>
                <w:bCs/>
              </w:rPr>
              <w:t>ESMA offentliggør resultaterne af de årlige gennemsigtighedsberegninger for egenkapitalinstrumenter og egenkapitallignende instrumenter</w:t>
            </w:r>
          </w:p>
          <w:bookmarkEnd w:id="5"/>
          <w:p w14:paraId="1E3F42FE" w14:textId="77777777" w:rsidR="00392234" w:rsidRDefault="00392234" w:rsidP="001F38EB"/>
          <w:p w14:paraId="0DFCF951" w14:textId="69452F94" w:rsidR="0062437B" w:rsidRPr="00301E4A" w:rsidRDefault="0062437B" w:rsidP="001F38EB">
            <w:r w:rsidRPr="00301E4A">
              <w:t>Beregningerne finder anvendelse fra den 7. april 2025.</w:t>
            </w:r>
          </w:p>
          <w:p w14:paraId="2623D00B" w14:textId="447B4F4F" w:rsidR="0062437B" w:rsidRPr="00301E4A" w:rsidRDefault="0062437B" w:rsidP="001F38EB">
            <w:r w:rsidRPr="00301E4A">
              <w:t xml:space="preserve">Der er i øjeblikket 1.283 likvide aktier og 1.003 likvide aktielignende instrumenter, bortset fra aktier, der er underlagt </w:t>
            </w:r>
            <w:r w:rsidR="00392234" w:rsidRPr="00301E4A">
              <w:t>gennemsigtighedskrav</w:t>
            </w:r>
            <w:r w:rsidR="00392234" w:rsidRPr="00301E4A">
              <w:t xml:space="preserve"> </w:t>
            </w:r>
            <w:r w:rsidR="00392234">
              <w:t xml:space="preserve">i henhold til </w:t>
            </w:r>
            <w:proofErr w:type="spellStart"/>
            <w:r w:rsidRPr="00301E4A">
              <w:t>MiFID</w:t>
            </w:r>
            <w:proofErr w:type="spellEnd"/>
            <w:r w:rsidRPr="00301E4A">
              <w:t xml:space="preserve"> II/</w:t>
            </w:r>
            <w:proofErr w:type="spellStart"/>
            <w:r w:rsidRPr="00301E4A">
              <w:t>MiFIR</w:t>
            </w:r>
            <w:proofErr w:type="spellEnd"/>
            <w:r w:rsidRPr="00301E4A">
              <w:t>.</w:t>
            </w:r>
          </w:p>
          <w:p w14:paraId="36F1CEB2" w14:textId="77777777" w:rsidR="00AC62BC" w:rsidRPr="00301E4A" w:rsidRDefault="00AC62BC"/>
          <w:p w14:paraId="29E632A3" w14:textId="616ED1EB" w:rsidR="007053A3" w:rsidRPr="00565D9A" w:rsidRDefault="0010233A" w:rsidP="004143F5">
            <w:pPr>
              <w:rPr>
                <w:lang w:val="en-US"/>
              </w:rPr>
            </w:pPr>
            <w:r w:rsidRPr="00301E4A">
              <w:t xml:space="preserve">(Offentliggjort den 28. februar 2025, </w:t>
            </w:r>
            <w:hyperlink r:id="rId14" w:history="1">
              <w:r w:rsidRPr="00301E4A">
                <w:rPr>
                  <w:rStyle w:val="Hyperlink"/>
                </w:rPr>
                <w:t>link</w:t>
              </w:r>
            </w:hyperlink>
            <w:r w:rsidRPr="00301E4A">
              <w:t>)</w:t>
            </w:r>
          </w:p>
        </w:tc>
      </w:tr>
    </w:tbl>
    <w:p w14:paraId="50896B16" w14:textId="77777777" w:rsidR="006834A9" w:rsidRDefault="006834A9" w:rsidP="00BE4C01">
      <w:pPr>
        <w:rPr>
          <w:i/>
          <w:iCs/>
        </w:rPr>
      </w:pPr>
    </w:p>
    <w:p w14:paraId="251BD954" w14:textId="0643407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6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00C"/>
    <w:multiLevelType w:val="multilevel"/>
    <w:tmpl w:val="4390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B42E4B"/>
    <w:multiLevelType w:val="multilevel"/>
    <w:tmpl w:val="3A44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2"/>
  </w:num>
  <w:num w:numId="2" w16cid:durableId="850879022">
    <w:abstractNumId w:val="1"/>
  </w:num>
  <w:num w:numId="3" w16cid:durableId="201480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32815"/>
    <w:rsid w:val="000519F3"/>
    <w:rsid w:val="000A03EB"/>
    <w:rsid w:val="000D0984"/>
    <w:rsid w:val="0010233A"/>
    <w:rsid w:val="001163B2"/>
    <w:rsid w:val="00136D9B"/>
    <w:rsid w:val="001928E1"/>
    <w:rsid w:val="0019386A"/>
    <w:rsid w:val="001A360D"/>
    <w:rsid w:val="001D2801"/>
    <w:rsid w:val="00234415"/>
    <w:rsid w:val="00265438"/>
    <w:rsid w:val="00266A5A"/>
    <w:rsid w:val="002B6B87"/>
    <w:rsid w:val="002D04DD"/>
    <w:rsid w:val="00301E4A"/>
    <w:rsid w:val="00344CB3"/>
    <w:rsid w:val="00382A4A"/>
    <w:rsid w:val="00392234"/>
    <w:rsid w:val="003B7544"/>
    <w:rsid w:val="003B7D51"/>
    <w:rsid w:val="003D0345"/>
    <w:rsid w:val="003E5450"/>
    <w:rsid w:val="004044A5"/>
    <w:rsid w:val="004143F5"/>
    <w:rsid w:val="00427ED3"/>
    <w:rsid w:val="004402AB"/>
    <w:rsid w:val="0045749D"/>
    <w:rsid w:val="004D11C0"/>
    <w:rsid w:val="004D5CE1"/>
    <w:rsid w:val="004D740B"/>
    <w:rsid w:val="00502DF5"/>
    <w:rsid w:val="00504519"/>
    <w:rsid w:val="00533C93"/>
    <w:rsid w:val="00562F0B"/>
    <w:rsid w:val="00565D9A"/>
    <w:rsid w:val="005945AC"/>
    <w:rsid w:val="005B636C"/>
    <w:rsid w:val="005C2158"/>
    <w:rsid w:val="005C271D"/>
    <w:rsid w:val="005E11CF"/>
    <w:rsid w:val="00617539"/>
    <w:rsid w:val="0062437B"/>
    <w:rsid w:val="006834A9"/>
    <w:rsid w:val="006C0074"/>
    <w:rsid w:val="006C57C3"/>
    <w:rsid w:val="006F417C"/>
    <w:rsid w:val="007053A3"/>
    <w:rsid w:val="007B35BB"/>
    <w:rsid w:val="00822B12"/>
    <w:rsid w:val="00826647"/>
    <w:rsid w:val="00844386"/>
    <w:rsid w:val="008901B6"/>
    <w:rsid w:val="009244AF"/>
    <w:rsid w:val="00930B95"/>
    <w:rsid w:val="00965E4E"/>
    <w:rsid w:val="009911B9"/>
    <w:rsid w:val="00A17BB9"/>
    <w:rsid w:val="00A25776"/>
    <w:rsid w:val="00A331C0"/>
    <w:rsid w:val="00A356F8"/>
    <w:rsid w:val="00A35947"/>
    <w:rsid w:val="00A97075"/>
    <w:rsid w:val="00AC3CCA"/>
    <w:rsid w:val="00AC62BC"/>
    <w:rsid w:val="00AD187E"/>
    <w:rsid w:val="00AE6A7B"/>
    <w:rsid w:val="00B02E43"/>
    <w:rsid w:val="00B84E03"/>
    <w:rsid w:val="00B91B7D"/>
    <w:rsid w:val="00BA5D03"/>
    <w:rsid w:val="00BC1F31"/>
    <w:rsid w:val="00BE4C01"/>
    <w:rsid w:val="00C20824"/>
    <w:rsid w:val="00C21A39"/>
    <w:rsid w:val="00CA49CB"/>
    <w:rsid w:val="00CD38E3"/>
    <w:rsid w:val="00D66225"/>
    <w:rsid w:val="00DD48DD"/>
    <w:rsid w:val="00EC3FB9"/>
    <w:rsid w:val="00EC7E92"/>
    <w:rsid w:val="00ED1E13"/>
    <w:rsid w:val="00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17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DA/TXT/?uri=OJ:L_2025003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DA/TXT/?uri=CELEX:32025R0303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as@equitylaw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DA/TXT/?uri=OJ:L_20250030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hyperlink" Target="https://eur-lex.europa.eu/legal-content/DA/TXT/?uri=OJ:L_202500301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finanstilsynet.dk/nyheder-og-presse/nyheder-og-pressemeddelelser/2025/feb/praksis-for-finanstilsynets-egnethedsvurderinger-2025-" TargetMode="External"/><Relationship Id="rId14" Type="http://schemas.openxmlformats.org/officeDocument/2006/relationships/hyperlink" Target="https://www.esma.europa.eu/press-news/esma-news/esma-publishes-results-annual-transparency-calculations-equity-and-equity-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3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1B4B9-430D-4541-8949-D0CE911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769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54</cp:revision>
  <dcterms:created xsi:type="dcterms:W3CDTF">2025-03-03T09:12:00Z</dcterms:created>
  <dcterms:modified xsi:type="dcterms:W3CDTF">2025-03-03T10:38:00Z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