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408E7030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9859BC">
        <w:t>april</w:t>
      </w:r>
      <w:r w:rsidRPr="005A5267">
        <w:t xml:space="preserve"> </w:t>
      </w:r>
      <w:r>
        <w:t xml:space="preserve">måned </w:t>
      </w:r>
      <w:r w:rsidRPr="005A5267">
        <w:t>202</w:t>
      </w:r>
      <w:r w:rsidR="004044A5">
        <w:t>5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1639F564" w14:textId="77777777" w:rsidR="00BE4C01" w:rsidRDefault="00BE4C01"/>
          <w:p w14:paraId="1A5CCC14" w14:textId="7454725D" w:rsidR="00D33C20" w:rsidRDefault="00120574">
            <w:r>
              <w:t>Tema</w:t>
            </w:r>
            <w:r w:rsidR="00BC357F">
              <w:t>rapport</w:t>
            </w:r>
            <w:r w:rsidR="00624A4D">
              <w:t xml:space="preserve"> fra Finanstilsyn</w:t>
            </w:r>
            <w:r w:rsidR="008E6EF9">
              <w:t>et</w:t>
            </w:r>
            <w:r w:rsidR="00BC357F">
              <w:t xml:space="preserve"> om aktivt ejerskab</w:t>
            </w:r>
            <w:r w:rsidR="00706C8F">
              <w:t xml:space="preserve">: </w:t>
            </w:r>
            <w:hyperlink w:anchor="A" w:history="1">
              <w:r w:rsidR="008E6EF9" w:rsidRPr="008E6EF9">
                <w:rPr>
                  <w:rStyle w:val="Hyperlink"/>
                </w:rPr>
                <w:t>link</w:t>
              </w:r>
            </w:hyperlink>
          </w:p>
          <w:p w14:paraId="28BFF0E0" w14:textId="77777777" w:rsidR="008E6EF9" w:rsidRDefault="008E6EF9"/>
          <w:p w14:paraId="56C8D171" w14:textId="19A5C224" w:rsidR="008E6EF9" w:rsidRDefault="007B7897">
            <w:r>
              <w:t>Uds</w:t>
            </w:r>
            <w:r w:rsidR="00A36C74">
              <w:t>ættelse af</w:t>
            </w:r>
            <w:r w:rsidR="00E53AB6">
              <w:t xml:space="preserve"> EU-</w:t>
            </w:r>
            <w:r w:rsidR="00A36C74">
              <w:t xml:space="preserve">krav </w:t>
            </w:r>
            <w:r w:rsidR="00E53AB6">
              <w:t>til</w:t>
            </w:r>
            <w:r w:rsidR="00A36C74">
              <w:t xml:space="preserve"> b</w:t>
            </w:r>
            <w:r w:rsidR="008E6EF9">
              <w:t>æredygtighedsrapportering</w:t>
            </w:r>
            <w:r>
              <w:t xml:space="preserve"> </w:t>
            </w:r>
            <w:r w:rsidR="00881A2F">
              <w:t>m.v. i CSRD og CSDDD</w:t>
            </w:r>
            <w:r>
              <w:t>:</w:t>
            </w:r>
            <w:r w:rsidR="00A36C74">
              <w:t xml:space="preserve"> </w:t>
            </w:r>
            <w:hyperlink w:anchor="B" w:history="1">
              <w:r w:rsidR="00E53AB6" w:rsidRPr="00E53AB6">
                <w:rPr>
                  <w:rStyle w:val="Hyperlink"/>
                </w:rPr>
                <w:t>link</w:t>
              </w:r>
            </w:hyperlink>
          </w:p>
          <w:p w14:paraId="1CB83834" w14:textId="77777777" w:rsidR="008E6EF9" w:rsidRDefault="008E6EF9"/>
          <w:p w14:paraId="73B8B5CA" w14:textId="6CF7B523" w:rsidR="00387550" w:rsidRDefault="00387550">
            <w:r>
              <w:t>ESMA</w:t>
            </w:r>
            <w:r w:rsidR="0035245D">
              <w:t xml:space="preserve"> præciserer overgangsregler for </w:t>
            </w:r>
            <w:proofErr w:type="spellStart"/>
            <w:r w:rsidR="0035245D">
              <w:t>consolidated</w:t>
            </w:r>
            <w:proofErr w:type="spellEnd"/>
            <w:r w:rsidR="0035245D">
              <w:t xml:space="preserve"> tape </w:t>
            </w:r>
            <w:proofErr w:type="spellStart"/>
            <w:r w:rsidR="0035245D">
              <w:t>providers</w:t>
            </w:r>
            <w:proofErr w:type="spellEnd"/>
            <w:r w:rsidR="0035245D">
              <w:t xml:space="preserve"> under </w:t>
            </w:r>
            <w:proofErr w:type="spellStart"/>
            <w:r w:rsidR="0035245D">
              <w:t>MiFIR</w:t>
            </w:r>
            <w:proofErr w:type="spellEnd"/>
            <w:r w:rsidR="0035245D">
              <w:t xml:space="preserve">: </w:t>
            </w:r>
            <w:hyperlink w:anchor="C" w:history="1">
              <w:r w:rsidR="0035245D" w:rsidRPr="0035245D">
                <w:rPr>
                  <w:rStyle w:val="Hyperlink"/>
                </w:rPr>
                <w:t>link</w:t>
              </w:r>
            </w:hyperlink>
          </w:p>
          <w:p w14:paraId="1BECBC8B" w14:textId="77777777" w:rsidR="0035245D" w:rsidRDefault="0035245D"/>
          <w:p w14:paraId="69A83705" w14:textId="00F1C0C9" w:rsidR="0035245D" w:rsidRDefault="00742137">
            <w:r>
              <w:t>L</w:t>
            </w:r>
            <w:r w:rsidR="006D03CD">
              <w:t>ikviditetsberegninger</w:t>
            </w:r>
            <w:r w:rsidR="00A05578">
              <w:t xml:space="preserve"> for non-</w:t>
            </w:r>
            <w:proofErr w:type="spellStart"/>
            <w:r w:rsidR="00A05578">
              <w:t>equity</w:t>
            </w:r>
            <w:proofErr w:type="spellEnd"/>
            <w:r w:rsidR="006D03CD">
              <w:t xml:space="preserve"> under </w:t>
            </w:r>
            <w:proofErr w:type="spellStart"/>
            <w:r w:rsidR="006D03CD">
              <w:t>MiFID</w:t>
            </w:r>
            <w:proofErr w:type="spellEnd"/>
            <w:r w:rsidR="006D03CD">
              <w:t xml:space="preserve"> II/</w:t>
            </w:r>
            <w:proofErr w:type="spellStart"/>
            <w:r w:rsidR="006D03CD">
              <w:t>MiFIR</w:t>
            </w:r>
            <w:proofErr w:type="spellEnd"/>
            <w:r w:rsidR="006D03CD">
              <w:t xml:space="preserve">: </w:t>
            </w:r>
            <w:hyperlink w:anchor="D" w:history="1">
              <w:r w:rsidR="006D03CD" w:rsidRPr="006D03CD">
                <w:rPr>
                  <w:rStyle w:val="Hyperlink"/>
                </w:rPr>
                <w:t>link</w:t>
              </w:r>
            </w:hyperlink>
          </w:p>
          <w:p w14:paraId="774E809C" w14:textId="77777777" w:rsidR="00D33C20" w:rsidRDefault="00D33C20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7582D620" w14:textId="77777777" w:rsidR="00BE4C01" w:rsidRDefault="00BE4C01"/>
          <w:p w14:paraId="2B87A2EB" w14:textId="77777777" w:rsidR="00D33C20" w:rsidRDefault="00D33C20" w:rsidP="00D33C20">
            <w:r>
              <w:t>(Intet nyt)</w:t>
            </w:r>
          </w:p>
          <w:p w14:paraId="1136A53C" w14:textId="77777777" w:rsidR="00D33C20" w:rsidRDefault="00D33C20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74F9D52C" w14:textId="77777777" w:rsidR="00BE4C01" w:rsidRDefault="00BE4C01"/>
          <w:p w14:paraId="297A1D0E" w14:textId="77777777" w:rsidR="00281A51" w:rsidRPr="00AC5CD7" w:rsidRDefault="00281A51" w:rsidP="00281A51">
            <w:pPr>
              <w:jc w:val="both"/>
              <w:rPr>
                <w:b/>
                <w:bCs/>
              </w:rPr>
            </w:pPr>
            <w:bookmarkStart w:id="0" w:name="A"/>
            <w:r w:rsidRPr="00AC5CD7">
              <w:rPr>
                <w:b/>
                <w:bCs/>
              </w:rPr>
              <w:t>Mangler i oplysninger om aktivt ejerskab</w:t>
            </w:r>
          </w:p>
          <w:bookmarkEnd w:id="0"/>
          <w:p w14:paraId="7FB88B3F" w14:textId="77777777" w:rsidR="00D33C20" w:rsidRDefault="00D33C20" w:rsidP="00281A51">
            <w:pPr>
              <w:jc w:val="both"/>
            </w:pPr>
          </w:p>
          <w:p w14:paraId="4CB97196" w14:textId="69EB5C14" w:rsidR="00281A51" w:rsidRDefault="00281A51" w:rsidP="00281A51">
            <w:pPr>
              <w:jc w:val="both"/>
            </w:pPr>
            <w:r>
              <w:t xml:space="preserve">Pensionsselskaber og kapitalforvaltere skal være bedre til at oplyse om deres tilgang til aktivt ejerskab. Det </w:t>
            </w:r>
            <w:r w:rsidR="00245AF6">
              <w:t xml:space="preserve">konkluderer </w:t>
            </w:r>
            <w:r>
              <w:t>Finanstilsynet</w:t>
            </w:r>
            <w:r w:rsidR="00140334">
              <w:t xml:space="preserve"> efter at have</w:t>
            </w:r>
            <w:r>
              <w:t xml:space="preserve"> gennemført </w:t>
            </w:r>
            <w:r w:rsidR="00AC7A74">
              <w:t xml:space="preserve">en undersøgelse </w:t>
            </w:r>
            <w:r>
              <w:t>om aktivt ejerskab hos i alt seks virksomheder.</w:t>
            </w:r>
            <w:r w:rsidR="00140334">
              <w:t xml:space="preserve"> </w:t>
            </w:r>
            <w:r w:rsidR="00140334" w:rsidRPr="00140334">
              <w:t xml:space="preserve">Alle virksomhederne i undersøgelsen </w:t>
            </w:r>
            <w:r w:rsidR="00140334">
              <w:t>havde</w:t>
            </w:r>
            <w:r w:rsidR="00140334" w:rsidRPr="00140334">
              <w:t xml:space="preserve"> offentliggjort en politik for aktivt ejerskab. Politikkerne kom dog ikke altid omkring de elementer, som lovgivningen kræver.</w:t>
            </w:r>
          </w:p>
          <w:p w14:paraId="4D4BA87A" w14:textId="77777777" w:rsidR="00E508C4" w:rsidRDefault="00E508C4" w:rsidP="00281A51">
            <w:pPr>
              <w:jc w:val="both"/>
            </w:pPr>
          </w:p>
          <w:p w14:paraId="0147569F" w14:textId="6D28B243" w:rsidR="00281A51" w:rsidRDefault="00281A51" w:rsidP="00281A51">
            <w:pPr>
              <w:jc w:val="both"/>
            </w:pPr>
            <w:r w:rsidRPr="00EC3BFC">
              <w:t xml:space="preserve">Finanstilsynet har på baggrund af undersøgelsen offentliggjort en god praksis-rapport, som beskriver de væsentligste observationer og Finanstilsynets forventninger til virksomhedernes oplysninger om aktivt ejerskab. </w:t>
            </w:r>
          </w:p>
          <w:p w14:paraId="7F6817CB" w14:textId="77777777" w:rsidR="00D33C20" w:rsidRDefault="00D33C20" w:rsidP="00281A51">
            <w:pPr>
              <w:jc w:val="both"/>
            </w:pPr>
          </w:p>
          <w:p w14:paraId="28D2BE0C" w14:textId="65C2DB68" w:rsidR="00281A51" w:rsidRDefault="00281A51" w:rsidP="00281A51">
            <w:pPr>
              <w:jc w:val="both"/>
            </w:pPr>
            <w:r>
              <w:t xml:space="preserve">(Offentliggjort den 11. april 2025, </w:t>
            </w:r>
            <w:hyperlink r:id="rId8" w:history="1">
              <w:r w:rsidRPr="00AC5CD7">
                <w:rPr>
                  <w:rStyle w:val="Hyperlink"/>
                </w:rPr>
                <w:t>lin</w:t>
              </w:r>
              <w:r w:rsidRPr="00AC5CD7">
                <w:rPr>
                  <w:rStyle w:val="Hyperlink"/>
                </w:rPr>
                <w:t>k</w:t>
              </w:r>
            </w:hyperlink>
            <w:r>
              <w:t>)</w:t>
            </w:r>
          </w:p>
          <w:p w14:paraId="2BE89B52" w14:textId="77777777" w:rsidR="00281A51" w:rsidRDefault="00281A51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34B9D9FB" w14:textId="77777777" w:rsidR="00BE4C01" w:rsidRDefault="00BE4C01"/>
          <w:p w14:paraId="27BEFF73" w14:textId="77777777" w:rsidR="0050134C" w:rsidRDefault="0050134C" w:rsidP="0050134C">
            <w:pPr>
              <w:jc w:val="both"/>
              <w:rPr>
                <w:b/>
                <w:bCs/>
              </w:rPr>
            </w:pPr>
            <w:bookmarkStart w:id="1" w:name="B"/>
            <w:r w:rsidRPr="00682A8F">
              <w:rPr>
                <w:b/>
                <w:bCs/>
              </w:rPr>
              <w:t>Europa-Parlamentets og Rådets direktiv (EU) 2025/794 af 14. april 2025 om ændring af direktiv (EU) 2022/2464 og (EU) 2024/1760 for så vidt angår de datoer, fra hvilke medlemsstaterne skal anvende visse krav til virksomheders bæredygtighedsrapportering og due diligence</w:t>
            </w:r>
          </w:p>
          <w:bookmarkEnd w:id="1"/>
          <w:p w14:paraId="09753795" w14:textId="77777777" w:rsidR="00D33C20" w:rsidRDefault="00D33C20" w:rsidP="0050134C">
            <w:pPr>
              <w:jc w:val="both"/>
            </w:pPr>
          </w:p>
          <w:p w14:paraId="655AA548" w14:textId="5772E73C" w:rsidR="0050134C" w:rsidRDefault="0050134C" w:rsidP="0050134C">
            <w:pPr>
              <w:jc w:val="both"/>
            </w:pPr>
            <w:r>
              <w:t xml:space="preserve">Direktivet ændrer i kravene til virksomheders bæredygtighedsrapportering i henhold til </w:t>
            </w:r>
            <w:r w:rsidRPr="001D7E4A">
              <w:t>Europa-Parlamentets og Rådets direktiv (EU) 2022/2464</w:t>
            </w:r>
            <w:r w:rsidR="0016272A">
              <w:t xml:space="preserve"> (CSRD)</w:t>
            </w:r>
            <w:r>
              <w:t xml:space="preserve"> og kravene til due diligence </w:t>
            </w:r>
            <w:r w:rsidRPr="00A62580">
              <w:t>Europa-Parlamentets og Rådets direktiv (EU) 2024/1760</w:t>
            </w:r>
            <w:r w:rsidR="00F10DCC">
              <w:t xml:space="preserve"> (CSDDD)</w:t>
            </w:r>
            <w:r>
              <w:t xml:space="preserve">. </w:t>
            </w:r>
          </w:p>
          <w:p w14:paraId="2A511D0F" w14:textId="77777777" w:rsidR="00D33C20" w:rsidRDefault="00D33C20" w:rsidP="0050134C">
            <w:pPr>
              <w:jc w:val="both"/>
            </w:pPr>
          </w:p>
          <w:p w14:paraId="6183B86F" w14:textId="7E05A83E" w:rsidR="0050134C" w:rsidRDefault="0050134C" w:rsidP="0050134C">
            <w:pPr>
              <w:jc w:val="both"/>
            </w:pPr>
            <w:r>
              <w:t xml:space="preserve">Ændringerne indebærer en udsættelse af fristerne med to år for bæredygtighedsrapportering i henhold til </w:t>
            </w:r>
            <w:r w:rsidR="00514B58">
              <w:t>Årsregnskabsdirektivet</w:t>
            </w:r>
            <w:r w:rsidR="00514B58">
              <w:t xml:space="preserve"> (</w:t>
            </w:r>
            <w:r w:rsidR="00A36C74">
              <w:t xml:space="preserve">direktiv </w:t>
            </w:r>
            <w:r w:rsidRPr="003A56FE">
              <w:t>2013/34/EU</w:t>
            </w:r>
            <w:r w:rsidR="00514B58">
              <w:t>)</w:t>
            </w:r>
            <w:r w:rsidR="00AC59E1">
              <w:t xml:space="preserve"> </w:t>
            </w:r>
            <w:r>
              <w:t xml:space="preserve">for </w:t>
            </w:r>
            <w:r w:rsidRPr="006409AD">
              <w:t xml:space="preserve">de virksomheder, der skal rapportere for regnskabsår, </w:t>
            </w:r>
            <w:r w:rsidRPr="006409AD">
              <w:lastRenderedPageBreak/>
              <w:t>der begynder den 1. januar 2025 eller derefter og den 1. januar 2026 eller derefter.</w:t>
            </w:r>
            <w:r>
              <w:t xml:space="preserve"> Tilsvarende udsættelse sker for udstedere, der skal rapportere i henhold transparensdirektivet.</w:t>
            </w:r>
          </w:p>
          <w:p w14:paraId="69F5DE7D" w14:textId="77777777" w:rsidR="00D33C20" w:rsidRDefault="00D33C20" w:rsidP="0050134C">
            <w:pPr>
              <w:jc w:val="both"/>
            </w:pPr>
          </w:p>
          <w:p w14:paraId="15476F24" w14:textId="06E33757" w:rsidR="0050134C" w:rsidRPr="00682A8F" w:rsidRDefault="0050134C" w:rsidP="0050134C">
            <w:pPr>
              <w:jc w:val="both"/>
            </w:pPr>
            <w:r>
              <w:t xml:space="preserve">Derudover udskydes kravene til anvendelse af </w:t>
            </w:r>
            <w:r w:rsidR="002F1498">
              <w:t>CSDDD</w:t>
            </w:r>
            <w:r>
              <w:t xml:space="preserve"> til virksomhedernes due diligence-forpligtelser </w:t>
            </w:r>
            <w:r w:rsidR="000B5AE2">
              <w:t xml:space="preserve">relateret til </w:t>
            </w:r>
            <w:r>
              <w:t>bæredygtighed.</w:t>
            </w:r>
          </w:p>
          <w:p w14:paraId="251473F4" w14:textId="77777777" w:rsidR="003A4226" w:rsidRDefault="003A4226" w:rsidP="0050134C">
            <w:pPr>
              <w:jc w:val="both"/>
            </w:pPr>
          </w:p>
          <w:p w14:paraId="707F725F" w14:textId="66855B82" w:rsidR="0050134C" w:rsidRDefault="0050134C" w:rsidP="0050134C">
            <w:pPr>
              <w:jc w:val="both"/>
            </w:pPr>
            <w:r>
              <w:t xml:space="preserve">(Offentliggjort den 16. april 2025, </w:t>
            </w:r>
            <w:hyperlink r:id="rId9" w:history="1">
              <w:r w:rsidRPr="002E76A3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010E559B" w14:textId="77777777" w:rsidR="0050134C" w:rsidRDefault="0050134C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17A81F4B" w14:textId="77777777" w:rsidR="00BE4C01" w:rsidRDefault="00BE4C01"/>
          <w:p w14:paraId="46E2ECA2" w14:textId="77777777" w:rsidR="00D33C20" w:rsidRDefault="00D33C20" w:rsidP="00D33C20">
            <w:r>
              <w:t>(Intet nyt)</w:t>
            </w:r>
          </w:p>
          <w:p w14:paraId="570C0B58" w14:textId="77777777" w:rsidR="00D33C20" w:rsidRDefault="00D33C20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7064AAE0" w14:textId="77777777" w:rsidR="00BE4C01" w:rsidRDefault="00BE4C01"/>
          <w:p w14:paraId="4A52FE89" w14:textId="77777777" w:rsidR="00D33C20" w:rsidRDefault="00D33C20" w:rsidP="00D33C20">
            <w:r>
              <w:t>(Intet nyt)</w:t>
            </w:r>
          </w:p>
          <w:p w14:paraId="5E1E2D1B" w14:textId="77777777" w:rsidR="00D33C20" w:rsidRDefault="00D33C20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:rsidRPr="0011483B" w14:paraId="7F315866" w14:textId="77777777" w:rsidTr="00BE4C01">
        <w:tc>
          <w:tcPr>
            <w:tcW w:w="9628" w:type="dxa"/>
          </w:tcPr>
          <w:p w14:paraId="080BDD6E" w14:textId="77777777" w:rsidR="00BE4C01" w:rsidRDefault="00BE4C01" w:rsidP="009E3658"/>
          <w:p w14:paraId="48CE746E" w14:textId="77777777" w:rsidR="009E3658" w:rsidRPr="00E757F3" w:rsidRDefault="009E3658" w:rsidP="009E3658">
            <w:pPr>
              <w:jc w:val="both"/>
              <w:rPr>
                <w:b/>
                <w:bCs/>
              </w:rPr>
            </w:pPr>
            <w:bookmarkStart w:id="2" w:name="C"/>
            <w:r w:rsidRPr="00E757F3">
              <w:rPr>
                <w:b/>
                <w:bCs/>
              </w:rPr>
              <w:t>Forberedelse til konsolideret løbende handelsinformation for obligationer - ESMA præciserer nogle aspekter</w:t>
            </w:r>
          </w:p>
          <w:bookmarkEnd w:id="2"/>
          <w:p w14:paraId="3A0F31CE" w14:textId="77777777" w:rsidR="003A4226" w:rsidRDefault="003A4226" w:rsidP="009E3658">
            <w:pPr>
              <w:jc w:val="both"/>
            </w:pPr>
          </w:p>
          <w:p w14:paraId="16F15DEF" w14:textId="345238A6" w:rsidR="001971E0" w:rsidRDefault="00FA0762" w:rsidP="009E3658">
            <w:pPr>
              <w:jc w:val="both"/>
            </w:pPr>
            <w:r>
              <w:t xml:space="preserve">I anledningen af ændringerne i </w:t>
            </w:r>
            <w:proofErr w:type="spellStart"/>
            <w:r>
              <w:t>MiFIR</w:t>
            </w:r>
            <w:proofErr w:type="spellEnd"/>
            <w:r>
              <w:t xml:space="preserve"> vedrørende </w:t>
            </w:r>
            <w:proofErr w:type="spellStart"/>
            <w:r w:rsidR="004E3BCB">
              <w:t>consolidated</w:t>
            </w:r>
            <w:proofErr w:type="spellEnd"/>
            <w:r w:rsidR="004E3BCB">
              <w:t xml:space="preserve"> tape </w:t>
            </w:r>
            <w:proofErr w:type="spellStart"/>
            <w:r w:rsidR="004E3BCB">
              <w:t>providers</w:t>
            </w:r>
            <w:proofErr w:type="spellEnd"/>
            <w:r w:rsidR="0095615B">
              <w:t xml:space="preserve"> (CTP)</w:t>
            </w:r>
            <w:r w:rsidR="004E3BCB">
              <w:t xml:space="preserve"> </w:t>
            </w:r>
            <w:r w:rsidR="009E3658">
              <w:t xml:space="preserve">præciserer ESMA: </w:t>
            </w:r>
          </w:p>
          <w:p w14:paraId="46506218" w14:textId="2050F80B" w:rsidR="001971E0" w:rsidRDefault="002338B2" w:rsidP="001971E0">
            <w:pPr>
              <w:pStyle w:val="Listeafsnit"/>
              <w:numPr>
                <w:ilvl w:val="0"/>
                <w:numId w:val="2"/>
              </w:numPr>
              <w:jc w:val="both"/>
            </w:pPr>
            <w:r>
              <w:t>T</w:t>
            </w:r>
            <w:r w:rsidR="009E3658">
              <w:t>idspunktet for ikrafttrædelsen og anvendelsen af de delegerede retsakter vedrørende</w:t>
            </w:r>
            <w:r w:rsidR="00BD2EE9">
              <w:t xml:space="preserve"> den</w:t>
            </w:r>
            <w:r w:rsidR="009E3658">
              <w:t xml:space="preserve"> </w:t>
            </w:r>
            <w:r w:rsidR="000670C0">
              <w:t>konsoli</w:t>
            </w:r>
            <w:r w:rsidR="00576F66">
              <w:t>derede løbende handelsinformation</w:t>
            </w:r>
            <w:r w:rsidR="009E3658">
              <w:t xml:space="preserve"> og gennemsigtighed</w:t>
            </w:r>
            <w:r>
              <w:t>.</w:t>
            </w:r>
            <w:r w:rsidR="009E3658">
              <w:t xml:space="preserve"> </w:t>
            </w:r>
          </w:p>
          <w:p w14:paraId="335569FE" w14:textId="39F46D9E" w:rsidR="009E3658" w:rsidRDefault="002338B2" w:rsidP="001971E0">
            <w:pPr>
              <w:pStyle w:val="Listeafsnit"/>
              <w:numPr>
                <w:ilvl w:val="0"/>
                <w:numId w:val="2"/>
              </w:numPr>
              <w:jc w:val="both"/>
            </w:pPr>
            <w:r>
              <w:t>M</w:t>
            </w:r>
            <w:r w:rsidR="009E3658">
              <w:t xml:space="preserve">uligheden for, at ESMA </w:t>
            </w:r>
            <w:r w:rsidR="00705DBE">
              <w:t xml:space="preserve">fastsætter </w:t>
            </w:r>
            <w:r w:rsidR="009E3658">
              <w:t xml:space="preserve">en overgangsperiode </w:t>
            </w:r>
            <w:r w:rsidR="00705DBE">
              <w:t>for</w:t>
            </w:r>
            <w:r w:rsidR="009E3658">
              <w:t xml:space="preserve"> den udvalgte og godkendte CTP for obligationer.</w:t>
            </w:r>
          </w:p>
          <w:p w14:paraId="52259E85" w14:textId="77777777" w:rsidR="003A4226" w:rsidRDefault="003A4226" w:rsidP="009E3658">
            <w:pPr>
              <w:jc w:val="both"/>
            </w:pPr>
          </w:p>
          <w:p w14:paraId="6ECFFA6E" w14:textId="73F67CFB" w:rsidR="009E3658" w:rsidRDefault="009E3658" w:rsidP="009E3658">
            <w:pPr>
              <w:jc w:val="both"/>
            </w:pPr>
            <w:r>
              <w:t xml:space="preserve">(Offentliggjort den 2. april 2025, </w:t>
            </w:r>
            <w:hyperlink r:id="rId10" w:history="1">
              <w:r w:rsidRPr="00E757F3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3DBE4E4B" w14:textId="77777777" w:rsidR="009E3658" w:rsidRDefault="009E3658"/>
          <w:p w14:paraId="1F167981" w14:textId="77777777" w:rsidR="00C924D2" w:rsidRDefault="00C924D2"/>
          <w:p w14:paraId="5082BC69" w14:textId="77777777" w:rsidR="00D02EDF" w:rsidRPr="00D02EDF" w:rsidRDefault="00D02EDF" w:rsidP="001D4644">
            <w:pPr>
              <w:rPr>
                <w:b/>
                <w:bCs/>
              </w:rPr>
            </w:pPr>
            <w:bookmarkStart w:id="3" w:name="D"/>
            <w:r w:rsidRPr="00D02EDF">
              <w:rPr>
                <w:b/>
                <w:bCs/>
              </w:rPr>
              <w:t>ESMA offentliggør de årlige gennemsigtighedsberegninger for andre instrumenter end aktieinstrumenter og likviditetsdata for obligationer</w:t>
            </w:r>
          </w:p>
          <w:bookmarkEnd w:id="3"/>
          <w:p w14:paraId="4282D9B4" w14:textId="77777777" w:rsidR="00D02EDF" w:rsidRPr="00D02EDF" w:rsidRDefault="00D02EDF" w:rsidP="001D4644"/>
          <w:p w14:paraId="30E6B08C" w14:textId="3C767CF6" w:rsidR="00D02EDF" w:rsidRPr="00D02EDF" w:rsidRDefault="00D02EDF" w:rsidP="001D4644">
            <w:r w:rsidRPr="0011483B">
              <w:t xml:space="preserve">ESMA har offentliggjort resultaterne af de årlige gennemsigtighedsberegninger for ikke-aktieinstrumenter </w:t>
            </w:r>
            <w:r w:rsidR="00446648">
              <w:t>samt</w:t>
            </w:r>
            <w:r w:rsidRPr="0011483B">
              <w:t xml:space="preserve"> en ny kvartalsvis likviditetsvurdering af obligationer under </w:t>
            </w:r>
            <w:proofErr w:type="spellStart"/>
            <w:r w:rsidRPr="0011483B">
              <w:t>MiFID</w:t>
            </w:r>
            <w:proofErr w:type="spellEnd"/>
            <w:r w:rsidRPr="0011483B">
              <w:t xml:space="preserve"> II og </w:t>
            </w:r>
            <w:proofErr w:type="spellStart"/>
            <w:r w:rsidRPr="0011483B">
              <w:t>MiFIR</w:t>
            </w:r>
            <w:proofErr w:type="spellEnd"/>
            <w:r w:rsidRPr="0011483B">
              <w:t xml:space="preserve">. </w:t>
            </w:r>
          </w:p>
          <w:p w14:paraId="1D0FC2C1" w14:textId="77777777" w:rsidR="00D02EDF" w:rsidRPr="00D02EDF" w:rsidRDefault="00D02EDF" w:rsidP="001D4644"/>
          <w:p w14:paraId="0ED8E1B7" w14:textId="21D57A57" w:rsidR="00D02EDF" w:rsidRDefault="00D02EDF" w:rsidP="001D4644">
            <w:r w:rsidRPr="0011483B">
              <w:t>Gennemsigtighedskravene baseret på resultaterne af de årlige gennemsigtighedsberegninger for andre instrumenter end egenkapitalinstrumenter gælder fra den 2. juni 2025 til 31. maj 2026.</w:t>
            </w:r>
          </w:p>
          <w:p w14:paraId="4F216937" w14:textId="77777777" w:rsidR="00B63E66" w:rsidRDefault="00B63E66" w:rsidP="001D4644"/>
          <w:p w14:paraId="2942254C" w14:textId="7F5959C3" w:rsidR="00B63E66" w:rsidRPr="00B63E66" w:rsidRDefault="00B63E66" w:rsidP="00983EA8">
            <w:r w:rsidRPr="00B63E66">
              <w:t xml:space="preserve">Gennemsigtighedskravene for obligationer, der anses for likvide, vil gælde fra </w:t>
            </w:r>
            <w:r w:rsidR="00BF2EE5">
              <w:t>den</w:t>
            </w:r>
            <w:r w:rsidRPr="00B63E66">
              <w:t xml:space="preserve"> 19. maj til 17. august 2025.</w:t>
            </w:r>
          </w:p>
          <w:p w14:paraId="5844A51F" w14:textId="77777777" w:rsidR="00CD5F40" w:rsidRPr="00B63E66" w:rsidRDefault="00CD5F40" w:rsidP="0011483B"/>
          <w:p w14:paraId="1F02525F" w14:textId="699993AF" w:rsidR="00CD5F40" w:rsidRPr="0011483B" w:rsidRDefault="00CD5F40" w:rsidP="0011483B">
            <w:pPr>
              <w:rPr>
                <w:lang w:val="en-US"/>
              </w:rPr>
            </w:pPr>
            <w:r>
              <w:t xml:space="preserve">(Offentliggjort den </w:t>
            </w:r>
            <w:r>
              <w:t>30</w:t>
            </w:r>
            <w:r>
              <w:t>. april 2025,</w:t>
            </w:r>
            <w:r>
              <w:t xml:space="preserve"> </w:t>
            </w:r>
            <w:hyperlink r:id="rId11" w:history="1">
              <w:r w:rsidRPr="00CD5F40">
                <w:rPr>
                  <w:rStyle w:val="Hyperlink"/>
                </w:rPr>
                <w:t>li</w:t>
              </w:r>
              <w:r w:rsidRPr="00CD5F40">
                <w:rPr>
                  <w:rStyle w:val="Hyperlink"/>
                </w:rPr>
                <w:t>n</w:t>
              </w:r>
              <w:r w:rsidRPr="00CD5F40">
                <w:rPr>
                  <w:rStyle w:val="Hyperlink"/>
                </w:rPr>
                <w:t>k</w:t>
              </w:r>
            </w:hyperlink>
            <w:r>
              <w:t>)</w:t>
            </w:r>
          </w:p>
          <w:p w14:paraId="29E632A3" w14:textId="77777777" w:rsidR="009E3658" w:rsidRPr="0011483B" w:rsidRDefault="009E3658">
            <w:pPr>
              <w:rPr>
                <w:lang w:val="en-US"/>
              </w:rPr>
            </w:pPr>
          </w:p>
        </w:tc>
      </w:tr>
    </w:tbl>
    <w:p w14:paraId="6BBF4DE2" w14:textId="44613D46" w:rsidR="00322D3C" w:rsidRDefault="00322D3C" w:rsidP="00BE4C01">
      <w:pPr>
        <w:rPr>
          <w:lang w:val="en-US"/>
        </w:rPr>
      </w:pPr>
    </w:p>
    <w:p w14:paraId="617885E3" w14:textId="77777777" w:rsidR="00322D3C" w:rsidRDefault="00322D3C">
      <w:pPr>
        <w:rPr>
          <w:lang w:val="en-US"/>
        </w:rPr>
      </w:pPr>
      <w:r>
        <w:rPr>
          <w:lang w:val="en-US"/>
        </w:rPr>
        <w:br w:type="page"/>
      </w:r>
    </w:p>
    <w:p w14:paraId="0F4E2800" w14:textId="77777777" w:rsidR="00BE4C01" w:rsidRPr="0011483B" w:rsidRDefault="00BE4C01" w:rsidP="00BE4C01">
      <w:pPr>
        <w:rPr>
          <w:lang w:val="en-US"/>
        </w:rPr>
      </w:pPr>
    </w:p>
    <w:p w14:paraId="251BD954" w14:textId="54A2256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13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CEBF" w14:textId="64DC358D" w:rsidR="00BE4C01" w:rsidRPr="00BE4C01" w:rsidRDefault="00A356F8" w:rsidP="00BE4C01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5B3420"/>
    <w:multiLevelType w:val="hybridMultilevel"/>
    <w:tmpl w:val="928A63C4"/>
    <w:lvl w:ilvl="0" w:tplc="2C784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6382">
    <w:abstractNumId w:val="0"/>
  </w:num>
  <w:num w:numId="2" w16cid:durableId="208699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670C0"/>
    <w:rsid w:val="000A03EB"/>
    <w:rsid w:val="000B5AE2"/>
    <w:rsid w:val="000D0984"/>
    <w:rsid w:val="0011483B"/>
    <w:rsid w:val="001163B2"/>
    <w:rsid w:val="00120574"/>
    <w:rsid w:val="00136D9B"/>
    <w:rsid w:val="00140334"/>
    <w:rsid w:val="0016272A"/>
    <w:rsid w:val="001928E1"/>
    <w:rsid w:val="001971E0"/>
    <w:rsid w:val="00197C2D"/>
    <w:rsid w:val="001D2801"/>
    <w:rsid w:val="002338B2"/>
    <w:rsid w:val="00245AF6"/>
    <w:rsid w:val="00265438"/>
    <w:rsid w:val="00281A51"/>
    <w:rsid w:val="002B6B87"/>
    <w:rsid w:val="002F1498"/>
    <w:rsid w:val="00312FE8"/>
    <w:rsid w:val="00322D3C"/>
    <w:rsid w:val="00344CB3"/>
    <w:rsid w:val="0035245D"/>
    <w:rsid w:val="00376969"/>
    <w:rsid w:val="00387550"/>
    <w:rsid w:val="003A4226"/>
    <w:rsid w:val="003B7D51"/>
    <w:rsid w:val="003E3CD5"/>
    <w:rsid w:val="004044A5"/>
    <w:rsid w:val="00407281"/>
    <w:rsid w:val="00427ED3"/>
    <w:rsid w:val="00446648"/>
    <w:rsid w:val="0045749D"/>
    <w:rsid w:val="004A479E"/>
    <w:rsid w:val="004D740B"/>
    <w:rsid w:val="004E3BCB"/>
    <w:rsid w:val="0050134C"/>
    <w:rsid w:val="00514B58"/>
    <w:rsid w:val="00533C93"/>
    <w:rsid w:val="00576F66"/>
    <w:rsid w:val="00583F14"/>
    <w:rsid w:val="005945AC"/>
    <w:rsid w:val="005C2158"/>
    <w:rsid w:val="005C6F1D"/>
    <w:rsid w:val="00624A4D"/>
    <w:rsid w:val="0069373C"/>
    <w:rsid w:val="006C0074"/>
    <w:rsid w:val="006C57C3"/>
    <w:rsid w:val="006D03CD"/>
    <w:rsid w:val="00705DBE"/>
    <w:rsid w:val="00706C8F"/>
    <w:rsid w:val="00742137"/>
    <w:rsid w:val="007B7897"/>
    <w:rsid w:val="008572A2"/>
    <w:rsid w:val="00881A2F"/>
    <w:rsid w:val="008901B6"/>
    <w:rsid w:val="008B2AB7"/>
    <w:rsid w:val="008B3FB6"/>
    <w:rsid w:val="008E6EF9"/>
    <w:rsid w:val="0095615B"/>
    <w:rsid w:val="009859BC"/>
    <w:rsid w:val="009911B9"/>
    <w:rsid w:val="009E3658"/>
    <w:rsid w:val="00A05578"/>
    <w:rsid w:val="00A356F8"/>
    <w:rsid w:val="00A36C74"/>
    <w:rsid w:val="00A97075"/>
    <w:rsid w:val="00AC59E1"/>
    <w:rsid w:val="00AC7A74"/>
    <w:rsid w:val="00B02E43"/>
    <w:rsid w:val="00B63E66"/>
    <w:rsid w:val="00BA3CC6"/>
    <w:rsid w:val="00BA5D03"/>
    <w:rsid w:val="00BC1F31"/>
    <w:rsid w:val="00BC357F"/>
    <w:rsid w:val="00BD2EE9"/>
    <w:rsid w:val="00BE4C01"/>
    <w:rsid w:val="00BF2EE5"/>
    <w:rsid w:val="00C21A39"/>
    <w:rsid w:val="00C6185B"/>
    <w:rsid w:val="00C924D2"/>
    <w:rsid w:val="00CD5F40"/>
    <w:rsid w:val="00D02EDF"/>
    <w:rsid w:val="00D33C20"/>
    <w:rsid w:val="00DD48DD"/>
    <w:rsid w:val="00E508C4"/>
    <w:rsid w:val="00E53AB6"/>
    <w:rsid w:val="00F10BC1"/>
    <w:rsid w:val="00F10DCC"/>
    <w:rsid w:val="00F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5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tilsynet.dk/nyheder-og-presse/nyheder-og-pressemeddelelser/2025/apr/mangler-i-oplysninger-om-aktivt-ejerskab-og-baeredygtighed" TargetMode="External"/><Relationship Id="rId13" Type="http://schemas.openxmlformats.org/officeDocument/2006/relationships/hyperlink" Target="mailto:cas@equitylaw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ma.europa.eu/press-news/esma-news/esma-publishes-annual-transparency-calculations-non-equity-instruments-and-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sma.europa.eu/press-news/esma-news/preparing-consolidated-tape-provider-bonds-esma-clarifies-some-aspec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-lex.europa.eu/legal-content/DA/TXT/?uri=OJ:L_20250079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670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61</cp:revision>
  <cp:lastPrinted>2025-05-02T09:02:00Z</cp:lastPrinted>
  <dcterms:created xsi:type="dcterms:W3CDTF">2025-05-02T07:20:00Z</dcterms:created>
  <dcterms:modified xsi:type="dcterms:W3CDTF">2025-05-02T09:36:00Z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