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2045B9E6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293823">
        <w:t>maj</w:t>
      </w:r>
      <w:r w:rsidRPr="005A5267">
        <w:t xml:space="preserve"> </w:t>
      </w:r>
      <w:r>
        <w:t xml:space="preserve">måned </w:t>
      </w:r>
      <w:r w:rsidRPr="005A5267">
        <w:t>202</w:t>
      </w:r>
      <w:r w:rsidR="004044A5">
        <w:t>5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5A411C1B" w14:textId="77777777" w:rsidR="00BE4C01" w:rsidRDefault="00BE4C01"/>
          <w:p w14:paraId="6C0742FF" w14:textId="77777777" w:rsidR="0052381D" w:rsidRDefault="0052381D">
            <w:r>
              <w:t xml:space="preserve">Fondsmæglere skrives ud af regler om opgørelse af systemisk buffer: </w:t>
            </w:r>
            <w:hyperlink w:anchor="A" w:history="1">
              <w:r w:rsidRPr="0052381D">
                <w:rPr>
                  <w:rStyle w:val="Hyperlink"/>
                </w:rPr>
                <w:t>link</w:t>
              </w:r>
            </w:hyperlink>
          </w:p>
          <w:p w14:paraId="7E72A54D" w14:textId="77777777" w:rsidR="0052381D" w:rsidRDefault="0052381D"/>
          <w:p w14:paraId="015E934D" w14:textId="77777777" w:rsidR="0059529C" w:rsidRDefault="0059529C">
            <w:r>
              <w:t xml:space="preserve">IFRS-bekendtgørelsen ophæves: </w:t>
            </w:r>
            <w:hyperlink w:anchor="B" w:history="1">
              <w:r w:rsidRPr="0059529C">
                <w:rPr>
                  <w:rStyle w:val="Hyperlink"/>
                </w:rPr>
                <w:t>link</w:t>
              </w:r>
            </w:hyperlink>
          </w:p>
          <w:p w14:paraId="1BFF8144" w14:textId="77777777" w:rsidR="0059529C" w:rsidRDefault="0059529C"/>
          <w:p w14:paraId="55352A68" w14:textId="77777777" w:rsidR="0040758C" w:rsidRDefault="00493EE5">
            <w:r>
              <w:t>Regler om indberetning til og offentliggørelse</w:t>
            </w:r>
            <w:r w:rsidR="0040758C">
              <w:t xml:space="preserve"> i Erhvervsstyrelsen opdateres: </w:t>
            </w:r>
            <w:hyperlink w:anchor="C" w:history="1">
              <w:r w:rsidR="0040758C" w:rsidRPr="0040758C">
                <w:rPr>
                  <w:rStyle w:val="Hyperlink"/>
                </w:rPr>
                <w:t>link</w:t>
              </w:r>
            </w:hyperlink>
          </w:p>
          <w:p w14:paraId="28D87C44" w14:textId="77777777" w:rsidR="0040758C" w:rsidRDefault="0040758C"/>
          <w:p w14:paraId="61B2D2CB" w14:textId="77777777" w:rsidR="003B3CDF" w:rsidRDefault="003B3CDF">
            <w:r>
              <w:t xml:space="preserve">IFRS 7 og 9 ændres: </w:t>
            </w:r>
            <w:hyperlink w:anchor="D" w:history="1">
              <w:r w:rsidRPr="003B3CDF">
                <w:rPr>
                  <w:rStyle w:val="Hyperlink"/>
                </w:rPr>
                <w:t>link</w:t>
              </w:r>
            </w:hyperlink>
          </w:p>
          <w:p w14:paraId="5280F183" w14:textId="77777777" w:rsidR="003B3CDF" w:rsidRDefault="003B3CDF"/>
          <w:p w14:paraId="4631520B" w14:textId="307645DD" w:rsidR="00F77C6D" w:rsidRDefault="0039613C">
            <w:r>
              <w:t xml:space="preserve">Nye niveau 2-regler til </w:t>
            </w:r>
            <w:proofErr w:type="spellStart"/>
            <w:r>
              <w:t>MiFIR</w:t>
            </w:r>
            <w:proofErr w:type="spellEnd"/>
            <w:r>
              <w:t xml:space="preserve"> om </w:t>
            </w:r>
            <w:r w:rsidR="00C56CF4">
              <w:t xml:space="preserve">referencedata til </w:t>
            </w:r>
            <w:r>
              <w:t>OTC-</w:t>
            </w:r>
            <w:proofErr w:type="spellStart"/>
            <w:r>
              <w:t>renteswaps</w:t>
            </w:r>
            <w:proofErr w:type="spellEnd"/>
            <w:r>
              <w:t xml:space="preserve"> og </w:t>
            </w:r>
            <w:proofErr w:type="spellStart"/>
            <w:r w:rsidR="00C56CF4">
              <w:t>credit</w:t>
            </w:r>
            <w:proofErr w:type="spellEnd"/>
            <w:r w:rsidR="00C56CF4">
              <w:t xml:space="preserve"> default-</w:t>
            </w:r>
            <w:proofErr w:type="spellStart"/>
            <w:r w:rsidR="00C56CF4">
              <w:t>swaps</w:t>
            </w:r>
            <w:proofErr w:type="spellEnd"/>
            <w:r w:rsidR="00C56CF4">
              <w:t xml:space="preserve">: </w:t>
            </w:r>
            <w:hyperlink w:anchor="E" w:history="1">
              <w:r w:rsidR="00C56CF4" w:rsidRPr="00C56CF4">
                <w:rPr>
                  <w:rStyle w:val="Hyperlink"/>
                </w:rPr>
                <w:t>link</w:t>
              </w:r>
            </w:hyperlink>
            <w:r w:rsidR="00493EE5">
              <w:t xml:space="preserve"> </w:t>
            </w:r>
            <w:r w:rsidR="00E218D9">
              <w:t xml:space="preserve"> </w:t>
            </w:r>
          </w:p>
          <w:p w14:paraId="774E809C" w14:textId="77777777" w:rsidR="00F77C6D" w:rsidRDefault="00F77C6D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21E4B534" w14:textId="77777777" w:rsidR="00BE4C01" w:rsidRDefault="00BE4C01"/>
          <w:p w14:paraId="3CAC6B86" w14:textId="77777777" w:rsidR="00F77C6D" w:rsidRDefault="00F77C6D" w:rsidP="00F77C6D">
            <w:r>
              <w:t>(Intet nyt)</w:t>
            </w:r>
          </w:p>
          <w:p w14:paraId="1136A53C" w14:textId="77777777" w:rsidR="00F77C6D" w:rsidRDefault="00F77C6D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765FD429" w14:textId="77777777" w:rsidR="00F77C6D" w:rsidRDefault="00F77C6D"/>
          <w:p w14:paraId="458B2893" w14:textId="77777777" w:rsidR="00760525" w:rsidRPr="009D6326" w:rsidRDefault="00760525" w:rsidP="00760525">
            <w:pPr>
              <w:jc w:val="both"/>
              <w:rPr>
                <w:b/>
                <w:bCs/>
              </w:rPr>
            </w:pPr>
            <w:bookmarkStart w:id="0" w:name="A"/>
            <w:r w:rsidRPr="009D6326">
              <w:rPr>
                <w:b/>
                <w:bCs/>
              </w:rPr>
              <w:t>Bekendtgørelse nr. 441 af 25. april 2025 om opgørelse af systemisk buffer</w:t>
            </w:r>
          </w:p>
          <w:bookmarkEnd w:id="0"/>
          <w:p w14:paraId="13ADEF37" w14:textId="77777777" w:rsidR="00760525" w:rsidRDefault="00760525" w:rsidP="00760525">
            <w:pPr>
              <w:jc w:val="both"/>
            </w:pPr>
          </w:p>
          <w:p w14:paraId="06A05CA8" w14:textId="511D351E" w:rsidR="00760525" w:rsidRDefault="00760525" w:rsidP="00760525">
            <w:pPr>
              <w:jc w:val="both"/>
            </w:pPr>
            <w:r>
              <w:t xml:space="preserve">De væsentligste ændringer i forhold til den </w:t>
            </w:r>
            <w:r w:rsidR="0022585A">
              <w:t>hidtidige</w:t>
            </w:r>
            <w:r>
              <w:t xml:space="preserve"> bekendtgørelse er, at fondsmæglerne skrives ud af bekendtgørelsen, og at der gennemføres en række konsekvensrettelser af henvisning til anden lovgivning.</w:t>
            </w:r>
          </w:p>
          <w:p w14:paraId="5EAE0295" w14:textId="77777777" w:rsidR="00225D72" w:rsidRDefault="00225D72" w:rsidP="00760525">
            <w:pPr>
              <w:jc w:val="both"/>
            </w:pPr>
          </w:p>
          <w:p w14:paraId="510F56EC" w14:textId="38458938" w:rsidR="00760525" w:rsidRDefault="00760525" w:rsidP="00760525">
            <w:pPr>
              <w:jc w:val="both"/>
            </w:pPr>
            <w:r>
              <w:t>B</w:t>
            </w:r>
            <w:r w:rsidRPr="000A460F">
              <w:t>ekendtgørelsen træde</w:t>
            </w:r>
            <w:r>
              <w:t>r</w:t>
            </w:r>
            <w:r w:rsidRPr="000A460F">
              <w:t xml:space="preserve"> i kraft den 1. juli 2025</w:t>
            </w:r>
            <w:r>
              <w:t xml:space="preserve"> og ophæver samtidig b</w:t>
            </w:r>
            <w:r w:rsidRPr="00C9618A">
              <w:t>ekendtgørelse nr. 2145 af 22. december 2020 om opgørelse af systemisk buffer</w:t>
            </w:r>
            <w:r w:rsidRPr="000A460F">
              <w:t>.</w:t>
            </w:r>
          </w:p>
          <w:p w14:paraId="3E077135" w14:textId="77777777" w:rsidR="00760525" w:rsidRDefault="00760525" w:rsidP="00760525">
            <w:pPr>
              <w:jc w:val="both"/>
            </w:pPr>
          </w:p>
          <w:p w14:paraId="548676EC" w14:textId="12BED53E" w:rsidR="00760525" w:rsidRDefault="00760525" w:rsidP="00760525">
            <w:pPr>
              <w:jc w:val="both"/>
            </w:pPr>
            <w:r>
              <w:t xml:space="preserve">(Offentliggjort den 7. maj 2025, </w:t>
            </w:r>
            <w:hyperlink r:id="rId9" w:history="1">
              <w:r w:rsidRPr="009D6326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416B1ED8" w14:textId="77777777" w:rsidR="00760525" w:rsidRDefault="00760525"/>
          <w:p w14:paraId="252A9712" w14:textId="77777777" w:rsidR="00F77C6D" w:rsidRDefault="00F77C6D"/>
          <w:p w14:paraId="2BF10150" w14:textId="77777777" w:rsidR="006C76BC" w:rsidRPr="00F712C8" w:rsidRDefault="006C76BC" w:rsidP="006C76BC">
            <w:pPr>
              <w:jc w:val="both"/>
              <w:rPr>
                <w:b/>
                <w:bCs/>
              </w:rPr>
            </w:pPr>
            <w:bookmarkStart w:id="1" w:name="B"/>
            <w:r w:rsidRPr="00F712C8">
              <w:rPr>
                <w:b/>
                <w:bCs/>
              </w:rPr>
              <w:t>Bekendtgørelse om ophævelse af bekendtgørelse om anvendelse af internationale regnskabsstandarder for virksomheder omfattet af lov om finansiel virksomhed og lov om forsikringsvirksomhed (IFRS-bekendtgørelsen for finansielle virksomheder)</w:t>
            </w:r>
          </w:p>
          <w:bookmarkEnd w:id="1"/>
          <w:p w14:paraId="5285B688" w14:textId="77777777" w:rsidR="006C76BC" w:rsidRDefault="006C76BC" w:rsidP="006C76BC">
            <w:pPr>
              <w:jc w:val="both"/>
            </w:pPr>
          </w:p>
          <w:p w14:paraId="57CC2D62" w14:textId="6B8C8D7C" w:rsidR="006C76BC" w:rsidRPr="00466F61" w:rsidRDefault="006C76BC" w:rsidP="006C76BC">
            <w:pPr>
              <w:jc w:val="both"/>
            </w:pPr>
            <w:r>
              <w:t xml:space="preserve">IFRS-bekendtgørelsen for finansielle virksomheder ophæves. </w:t>
            </w:r>
            <w:r w:rsidR="00F54198">
              <w:t>O</w:t>
            </w:r>
            <w:r>
              <w:t>phævelsen</w:t>
            </w:r>
            <w:r w:rsidRPr="00466F61">
              <w:t xml:space="preserve"> træder i kraft den 1. juli 2025.</w:t>
            </w:r>
          </w:p>
          <w:p w14:paraId="3050428D" w14:textId="77777777" w:rsidR="006C76BC" w:rsidRDefault="006C76BC" w:rsidP="006C76BC">
            <w:pPr>
              <w:jc w:val="both"/>
            </w:pPr>
          </w:p>
          <w:p w14:paraId="4EF5E1D7" w14:textId="6EB852E0" w:rsidR="006C76BC" w:rsidRDefault="006C76BC" w:rsidP="006C76BC">
            <w:pPr>
              <w:jc w:val="both"/>
            </w:pPr>
            <w:r>
              <w:t xml:space="preserve">(Offentliggjort den 24. maj 2025, </w:t>
            </w:r>
            <w:hyperlink r:id="rId10" w:history="1">
              <w:r w:rsidRPr="00F712C8">
                <w:rPr>
                  <w:rStyle w:val="Hyperlink"/>
                </w:rPr>
                <w:t>li</w:t>
              </w:r>
              <w:r w:rsidRPr="00F712C8">
                <w:rPr>
                  <w:rStyle w:val="Hyperlink"/>
                </w:rPr>
                <w:t>n</w:t>
              </w:r>
              <w:r w:rsidRPr="00F712C8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1578F916" w14:textId="77777777" w:rsidR="00760525" w:rsidRDefault="00760525"/>
          <w:p w14:paraId="0389930D" w14:textId="77777777" w:rsidR="00F77C6D" w:rsidRDefault="00F77C6D"/>
          <w:p w14:paraId="32E28447" w14:textId="77777777" w:rsidR="00C72F5F" w:rsidRPr="00366BF4" w:rsidRDefault="00C72F5F" w:rsidP="00C72F5F">
            <w:pPr>
              <w:jc w:val="both"/>
              <w:rPr>
                <w:b/>
                <w:bCs/>
              </w:rPr>
            </w:pPr>
            <w:bookmarkStart w:id="2" w:name="C"/>
            <w:r w:rsidRPr="00366BF4">
              <w:rPr>
                <w:b/>
                <w:bCs/>
              </w:rPr>
              <w:t>Bekendtgørelse nr. 584 af 23. maj 2025 om indberetning til og offentliggørelse af årsrapporter m.v. i Erhvervsstyrelsen for virksomheder omfattet af regnskabsregler fastsat ved eller i henhold til lovgivningen for finansielle virksomheder m.v.</w:t>
            </w:r>
          </w:p>
          <w:bookmarkEnd w:id="2"/>
          <w:p w14:paraId="4C0000A2" w14:textId="77777777" w:rsidR="00C72F5F" w:rsidRDefault="00C72F5F" w:rsidP="00C72F5F">
            <w:pPr>
              <w:jc w:val="both"/>
            </w:pPr>
          </w:p>
          <w:p w14:paraId="36F976CE" w14:textId="393AF8BB" w:rsidR="00C72F5F" w:rsidRDefault="00C72F5F" w:rsidP="002A2626">
            <w:pPr>
              <w:jc w:val="both"/>
            </w:pPr>
            <w:r>
              <w:t>Der er tale om væsentlig</w:t>
            </w:r>
            <w:r w:rsidR="00731508">
              <w:t xml:space="preserve">e </w:t>
            </w:r>
            <w:r w:rsidR="008D73F0">
              <w:t>ændringer</w:t>
            </w:r>
            <w:r>
              <w:t xml:space="preserve"> af bekendtgørelsen. </w:t>
            </w:r>
            <w:r w:rsidR="002A2626">
              <w:t>Æ</w:t>
            </w:r>
            <w:r>
              <w:t>ndringerne</w:t>
            </w:r>
            <w:r w:rsidR="002A2626">
              <w:t xml:space="preserve"> består</w:t>
            </w:r>
            <w:r>
              <w:t xml:space="preserve"> primært i følgende:</w:t>
            </w:r>
          </w:p>
          <w:p w14:paraId="4F030C47" w14:textId="77777777" w:rsidR="00590CFE" w:rsidRDefault="00590CFE" w:rsidP="002A2626">
            <w:pPr>
              <w:jc w:val="both"/>
            </w:pPr>
          </w:p>
          <w:p w14:paraId="536BE986" w14:textId="195A3E0C" w:rsidR="00C72F5F" w:rsidRDefault="00C72F5F" w:rsidP="002A2626">
            <w:pPr>
              <w:jc w:val="both"/>
            </w:pPr>
            <w:r>
              <w:t>(i) Et krav om indsendelse af rapport om indkomstskatteoplysninger, der følger Rådets direktiv (EU) 2016/881 af 25. maj 2016, som ændrer direktiv 2011/16/EU vedrørende obligatorisk automatisk udveksling af oplysninger på skatteområdet, herunder krav til offentliggørelse og indsendelse af land-for-land-rapportering.</w:t>
            </w:r>
          </w:p>
          <w:p w14:paraId="6DEAA1C1" w14:textId="360B205C" w:rsidR="00C72F5F" w:rsidRDefault="00C72F5F" w:rsidP="002A2626">
            <w:pPr>
              <w:jc w:val="both"/>
            </w:pPr>
            <w:r>
              <w:t>(ii) Tilføjelser som led i ændringer i lovgivningen om uafhængige erklæringsudbydere i forbindelse med bæredygtighedsrapportering.</w:t>
            </w:r>
          </w:p>
          <w:p w14:paraId="5D4C4E6A" w14:textId="68BBC8BE" w:rsidR="00C72F5F" w:rsidRDefault="00C72F5F" w:rsidP="002A2626">
            <w:pPr>
              <w:jc w:val="both"/>
            </w:pPr>
            <w:r>
              <w:t>(</w:t>
            </w:r>
            <w:r w:rsidR="002A2626">
              <w:t>iii</w:t>
            </w:r>
            <w:r>
              <w:t xml:space="preserve">) Præcisering af opmærkningsregler for virksomheder omfattet af krav om indberetning i </w:t>
            </w:r>
            <w:proofErr w:type="spellStart"/>
            <w:r>
              <w:t>iXBRL</w:t>
            </w:r>
            <w:proofErr w:type="spellEnd"/>
            <w:r>
              <w:t xml:space="preserve"> med Finanstilsynets taksonomi. </w:t>
            </w:r>
          </w:p>
          <w:p w14:paraId="0C1A663E" w14:textId="77777777" w:rsidR="008D73F0" w:rsidRDefault="008D73F0" w:rsidP="002A2626">
            <w:pPr>
              <w:jc w:val="both"/>
            </w:pPr>
          </w:p>
          <w:p w14:paraId="53692886" w14:textId="2665026A" w:rsidR="00C72F5F" w:rsidRDefault="00C72F5F" w:rsidP="002A2626">
            <w:pPr>
              <w:jc w:val="both"/>
            </w:pPr>
            <w:r>
              <w:t xml:space="preserve">Bekendtgørelsen træder i udgangspunkt i kraft den 1. juli 2025, med </w:t>
            </w:r>
            <w:r w:rsidRPr="00FC1231">
              <w:t>anvendelse for regnskabsår, der begynder 1. januar 2025 eller senere.</w:t>
            </w:r>
          </w:p>
          <w:p w14:paraId="257E0252" w14:textId="77777777" w:rsidR="00C72F5F" w:rsidRDefault="00C72F5F" w:rsidP="002A2626">
            <w:pPr>
              <w:jc w:val="both"/>
            </w:pPr>
          </w:p>
          <w:p w14:paraId="04448BBA" w14:textId="37251AB2" w:rsidR="00C72F5F" w:rsidRDefault="00C72F5F" w:rsidP="002A2626">
            <w:pPr>
              <w:jc w:val="both"/>
            </w:pPr>
            <w:r>
              <w:t xml:space="preserve">(Offentliggjort den 29. maj 2025, </w:t>
            </w:r>
            <w:hyperlink r:id="rId11" w:history="1">
              <w:r w:rsidRPr="00024580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14CBA9D2" w14:textId="77777777" w:rsidR="00C72F5F" w:rsidRDefault="00C72F5F" w:rsidP="002A2626"/>
          <w:p w14:paraId="1E99919A" w14:textId="77777777" w:rsidR="00F77C6D" w:rsidRDefault="00F77C6D" w:rsidP="00521CDA"/>
          <w:p w14:paraId="3F85AA4D" w14:textId="77777777" w:rsidR="00847364" w:rsidRDefault="00847364" w:rsidP="00521CDA">
            <w:pPr>
              <w:jc w:val="both"/>
            </w:pPr>
            <w:bookmarkStart w:id="3" w:name="D"/>
            <w:r w:rsidRPr="007B2220">
              <w:rPr>
                <w:b/>
                <w:bCs/>
              </w:rPr>
              <w:t>Kommissionens forordning (EU) 2025/1047 af 27. maj 2025 om ændring af forordning (EU) 2023/1803 for så vidt angår IFRS 9 og IFRS 7</w:t>
            </w:r>
          </w:p>
          <w:bookmarkEnd w:id="3"/>
          <w:p w14:paraId="7D2D1ED3" w14:textId="77777777" w:rsidR="00847364" w:rsidRDefault="00847364" w:rsidP="00521CDA">
            <w:pPr>
              <w:jc w:val="both"/>
            </w:pPr>
          </w:p>
          <w:p w14:paraId="05E326DD" w14:textId="12D20821" w:rsidR="00847364" w:rsidRDefault="00847364" w:rsidP="00521CDA">
            <w:pPr>
              <w:jc w:val="both"/>
            </w:pPr>
            <w:r w:rsidRPr="00BF3FCC">
              <w:t>Den 30. maj 2024 udsendte International Accounting Standards Board visse ændringer til IFRS 9 </w:t>
            </w:r>
            <w:r w:rsidRPr="00BF3FCC">
              <w:rPr>
                <w:i/>
                <w:iCs/>
              </w:rPr>
              <w:t>Finansielle instrumenter</w:t>
            </w:r>
            <w:r w:rsidRPr="00BF3FCC">
              <w:t xml:space="preserve"> og IFRS 7 </w:t>
            </w:r>
            <w:r w:rsidRPr="00BF3FCC">
              <w:rPr>
                <w:i/>
                <w:iCs/>
              </w:rPr>
              <w:t>Finansielle instrumenter: Oplysninger</w:t>
            </w:r>
            <w:r w:rsidRPr="00BF3FCC">
              <w:t>. </w:t>
            </w:r>
            <w:r w:rsidRPr="00F675DF">
              <w:t xml:space="preserve">Efter </w:t>
            </w:r>
            <w:r>
              <w:t xml:space="preserve">en </w:t>
            </w:r>
            <w:r w:rsidRPr="00F675DF">
              <w:t>høring</w:t>
            </w:r>
            <w:r>
              <w:t xml:space="preserve"> </w:t>
            </w:r>
            <w:r w:rsidRPr="00F675DF">
              <w:t>har Kommissionen konkluderet, at ændringerne til IFRS 9 og IFRS 7 opfylder betingelserne for vedtagelse som omhandlet i artikel 3, stk. 2, i forordning (EF) nr. 1606/2002.</w:t>
            </w:r>
          </w:p>
          <w:p w14:paraId="5E0C7D72" w14:textId="77777777" w:rsidR="009746CB" w:rsidRDefault="009746CB" w:rsidP="00521CDA">
            <w:pPr>
              <w:jc w:val="both"/>
            </w:pPr>
          </w:p>
          <w:p w14:paraId="7656AC6C" w14:textId="1E8E8EE4" w:rsidR="00847364" w:rsidRDefault="00847364" w:rsidP="00521CDA">
            <w:pPr>
              <w:jc w:val="both"/>
            </w:pPr>
            <w:r>
              <w:t xml:space="preserve">Forordningen træder i kraft den 17. juni 2025. </w:t>
            </w:r>
          </w:p>
          <w:p w14:paraId="277869DC" w14:textId="77777777" w:rsidR="00847364" w:rsidRDefault="00847364" w:rsidP="00521CDA">
            <w:pPr>
              <w:jc w:val="both"/>
            </w:pPr>
          </w:p>
          <w:p w14:paraId="762197A7" w14:textId="73629198" w:rsidR="00847364" w:rsidRDefault="00847364" w:rsidP="00521CDA">
            <w:pPr>
              <w:jc w:val="both"/>
            </w:pPr>
            <w:r>
              <w:t xml:space="preserve">(Offentliggjort den 28. maj 2025, </w:t>
            </w:r>
            <w:hyperlink r:id="rId12" w:history="1">
              <w:r w:rsidRPr="00281512">
                <w:rPr>
                  <w:rStyle w:val="Hyperlink"/>
                </w:rPr>
                <w:t>lin</w:t>
              </w:r>
              <w:r w:rsidRPr="00281512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2BE89B52" w14:textId="77777777" w:rsidR="00293823" w:rsidRDefault="00293823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25AFB21A" w14:textId="77777777" w:rsidR="00BE4C01" w:rsidRDefault="00BE4C01"/>
          <w:p w14:paraId="7524BF2D" w14:textId="77777777" w:rsidR="00280FC3" w:rsidRDefault="00280FC3" w:rsidP="00280FC3">
            <w:r>
              <w:t>(Intet nyt)</w:t>
            </w:r>
          </w:p>
          <w:p w14:paraId="010E559B" w14:textId="77777777" w:rsidR="00280FC3" w:rsidRDefault="00280FC3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04DC6A75" w14:textId="77777777" w:rsidR="00BE4C01" w:rsidRDefault="00BE4C01"/>
          <w:p w14:paraId="6EE753F4" w14:textId="77777777" w:rsidR="00A460E2" w:rsidRDefault="00A460E2" w:rsidP="00A460E2">
            <w:pPr>
              <w:jc w:val="both"/>
              <w:rPr>
                <w:b/>
                <w:bCs/>
              </w:rPr>
            </w:pPr>
            <w:bookmarkStart w:id="4" w:name="E"/>
            <w:r w:rsidRPr="0059253C">
              <w:rPr>
                <w:b/>
                <w:bCs/>
              </w:rPr>
              <w:t xml:space="preserve">Kommissionens delegerede forordning (EU) 2025/1003 af 24. januar 2025 om supplerende regler til Europa-Parlamentets og Rådets forordning (EU) nr. 600/2014 for så vidt angår identificerende referencedata for OTC-derivater, der skal anvendes med henblik på gennemsigtighedskravene i artikel 8a, stk. 2, samt artikel 10 og 21 </w:t>
            </w:r>
          </w:p>
          <w:bookmarkEnd w:id="4"/>
          <w:p w14:paraId="66559043" w14:textId="77777777" w:rsidR="0052381D" w:rsidRDefault="0052381D" w:rsidP="00A460E2">
            <w:pPr>
              <w:jc w:val="both"/>
              <w:rPr>
                <w:b/>
                <w:bCs/>
              </w:rPr>
            </w:pPr>
          </w:p>
          <w:p w14:paraId="3B8CB466" w14:textId="77777777" w:rsidR="00A460E2" w:rsidRPr="009A0C4D" w:rsidRDefault="00A460E2" w:rsidP="00A460E2">
            <w:pPr>
              <w:jc w:val="both"/>
            </w:pPr>
            <w:r>
              <w:t xml:space="preserve">Denne niveau 2-forordning uddyber </w:t>
            </w:r>
            <w:proofErr w:type="spellStart"/>
            <w:r>
              <w:t>MiFIR</w:t>
            </w:r>
            <w:proofErr w:type="spellEnd"/>
            <w:r>
              <w:t xml:space="preserve"> ved at fastsætte referencedata for OTC-</w:t>
            </w:r>
            <w:proofErr w:type="spellStart"/>
            <w:r>
              <w:t>renteswaps</w:t>
            </w:r>
            <w:proofErr w:type="spellEnd"/>
            <w:r>
              <w:t xml:space="preserve"> og OTC-</w:t>
            </w:r>
            <w:proofErr w:type="spellStart"/>
            <w:r>
              <w:t>credit</w:t>
            </w:r>
            <w:proofErr w:type="spellEnd"/>
            <w:r>
              <w:t xml:space="preserve"> default </w:t>
            </w:r>
            <w:proofErr w:type="spellStart"/>
            <w:r>
              <w:t>swaps</w:t>
            </w:r>
            <w:proofErr w:type="spellEnd"/>
            <w:r>
              <w:t xml:space="preserve"> med henblik </w:t>
            </w:r>
            <w:r w:rsidRPr="009A0C4D">
              <w:t xml:space="preserve">på gennemsigtighedskravene i </w:t>
            </w:r>
            <w:proofErr w:type="spellStart"/>
            <w:r>
              <w:t>MiFIR</w:t>
            </w:r>
            <w:proofErr w:type="spellEnd"/>
            <w:r>
              <w:t xml:space="preserve"> </w:t>
            </w:r>
            <w:r w:rsidRPr="009A0C4D">
              <w:t>artikel 8a, stk. 2, samt artikel 10 og 2</w:t>
            </w:r>
            <w:r>
              <w:t>1.</w:t>
            </w:r>
            <w:r w:rsidRPr="009A0C4D">
              <w:t xml:space="preserve"> </w:t>
            </w:r>
            <w:r>
              <w:t xml:space="preserve">Referencedata anvendes </w:t>
            </w:r>
            <w:r w:rsidRPr="009A0C4D">
              <w:t>fra den 1. september 2026.</w:t>
            </w:r>
          </w:p>
          <w:p w14:paraId="10B9A6F6" w14:textId="77777777" w:rsidR="007701F7" w:rsidRDefault="007701F7" w:rsidP="00A460E2">
            <w:pPr>
              <w:jc w:val="both"/>
            </w:pPr>
          </w:p>
          <w:p w14:paraId="1FF1712B" w14:textId="05510857" w:rsidR="00A460E2" w:rsidRDefault="00A460E2" w:rsidP="00A460E2">
            <w:pPr>
              <w:jc w:val="both"/>
            </w:pPr>
            <w:r>
              <w:t xml:space="preserve">(Offentliggjort den 22. maj 2025, </w:t>
            </w:r>
            <w:hyperlink r:id="rId13" w:history="1">
              <w:r w:rsidRPr="00F712C8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11330F86" w14:textId="77777777" w:rsidR="00A460E2" w:rsidRDefault="00A460E2"/>
          <w:p w14:paraId="570C0B58" w14:textId="77777777" w:rsidR="00A460E2" w:rsidRDefault="00A460E2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4044411D" w14:textId="77777777" w:rsidR="00BE4C01" w:rsidRDefault="00BE4C01"/>
          <w:p w14:paraId="20DF5C69" w14:textId="77777777" w:rsidR="00F77C6D" w:rsidRDefault="00F77C6D" w:rsidP="00F77C6D">
            <w:r>
              <w:t>(Intet nyt)</w:t>
            </w:r>
          </w:p>
          <w:p w14:paraId="5E1E2D1B" w14:textId="77777777" w:rsidR="00F77C6D" w:rsidRDefault="00F77C6D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7977C19B" w14:textId="77777777" w:rsidR="00F77C6D" w:rsidRDefault="00F77C6D"/>
          <w:p w14:paraId="2694FC91" w14:textId="77777777" w:rsidR="00F77C6D" w:rsidRDefault="00F77C6D" w:rsidP="00F77C6D">
            <w:r>
              <w:t>(Intet nyt)</w:t>
            </w:r>
          </w:p>
          <w:p w14:paraId="29E632A3" w14:textId="77777777" w:rsidR="00673AE2" w:rsidRDefault="00673AE2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5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BE4C01" w:rsidRDefault="00A356F8" w:rsidP="00BE4C01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A03EB"/>
    <w:rsid w:val="000D0984"/>
    <w:rsid w:val="001163B2"/>
    <w:rsid w:val="0013012E"/>
    <w:rsid w:val="00136D9B"/>
    <w:rsid w:val="001928E1"/>
    <w:rsid w:val="001D2801"/>
    <w:rsid w:val="0022585A"/>
    <w:rsid w:val="00225D72"/>
    <w:rsid w:val="00265438"/>
    <w:rsid w:val="00280FC3"/>
    <w:rsid w:val="00293823"/>
    <w:rsid w:val="002A2626"/>
    <w:rsid w:val="002B1E5C"/>
    <w:rsid w:val="002B6B87"/>
    <w:rsid w:val="00344CB3"/>
    <w:rsid w:val="0039613C"/>
    <w:rsid w:val="003B3CDF"/>
    <w:rsid w:val="003B7D51"/>
    <w:rsid w:val="004044A5"/>
    <w:rsid w:val="0040758C"/>
    <w:rsid w:val="00427ED3"/>
    <w:rsid w:val="0045749D"/>
    <w:rsid w:val="00493EE5"/>
    <w:rsid w:val="004D740B"/>
    <w:rsid w:val="00521CDA"/>
    <w:rsid w:val="0052381D"/>
    <w:rsid w:val="00533C93"/>
    <w:rsid w:val="00590CFE"/>
    <w:rsid w:val="005945AC"/>
    <w:rsid w:val="0059529C"/>
    <w:rsid w:val="005C2158"/>
    <w:rsid w:val="00673AE2"/>
    <w:rsid w:val="006C0074"/>
    <w:rsid w:val="006C57C3"/>
    <w:rsid w:val="006C76BC"/>
    <w:rsid w:val="00731508"/>
    <w:rsid w:val="00760525"/>
    <w:rsid w:val="007701F7"/>
    <w:rsid w:val="00847364"/>
    <w:rsid w:val="008901B6"/>
    <w:rsid w:val="008D73F0"/>
    <w:rsid w:val="009746CB"/>
    <w:rsid w:val="009911B9"/>
    <w:rsid w:val="00A356F8"/>
    <w:rsid w:val="00A460E2"/>
    <w:rsid w:val="00A97075"/>
    <w:rsid w:val="00AC1F7A"/>
    <w:rsid w:val="00B02E43"/>
    <w:rsid w:val="00BA5D03"/>
    <w:rsid w:val="00BC1F31"/>
    <w:rsid w:val="00BE4C01"/>
    <w:rsid w:val="00C21A39"/>
    <w:rsid w:val="00C56CF4"/>
    <w:rsid w:val="00C72F5F"/>
    <w:rsid w:val="00C82951"/>
    <w:rsid w:val="00DB41BB"/>
    <w:rsid w:val="00DD48DD"/>
    <w:rsid w:val="00E218D9"/>
    <w:rsid w:val="00EC539B"/>
    <w:rsid w:val="00EF4BAE"/>
    <w:rsid w:val="00F10BC1"/>
    <w:rsid w:val="00F54198"/>
    <w:rsid w:val="00F77C6D"/>
    <w:rsid w:val="00F87337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C7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DA/TXT/?uri=CELEX:32025R10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DA/TXT/?uri=OJ:L_2025010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tsinformation.dk/eli/lta/2025/584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s@equitylaw.dk" TargetMode="External"/><Relationship Id="rId10" Type="http://schemas.openxmlformats.org/officeDocument/2006/relationships/hyperlink" Target="https://www.retsinformation.dk/eli/lta/2025/53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tsinformation.dk/eli/lta/2025/44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3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CB46C-AD79-4900-9FFB-A24CE631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686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36</cp:revision>
  <dcterms:created xsi:type="dcterms:W3CDTF">2025-06-02T09:57:00Z</dcterms:created>
  <dcterms:modified xsi:type="dcterms:W3CDTF">2025-06-02T11:04:00Z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