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6AA67748" w:rsidR="00BE4C01" w:rsidRDefault="00BE4C01" w:rsidP="00BE4C01">
      <w:pPr>
        <w:jc w:val="both"/>
      </w:pPr>
      <w:r>
        <w:t>O</w:t>
      </w:r>
      <w:r w:rsidRPr="005A5267">
        <w:t xml:space="preserve">pdatering for </w:t>
      </w:r>
      <w:r w:rsidR="00ED21A3">
        <w:t>juni</w:t>
      </w:r>
      <w:r w:rsidRPr="005A5267">
        <w:t xml:space="preserve"> </w:t>
      </w:r>
      <w:r>
        <w:t xml:space="preserve">måned </w:t>
      </w:r>
      <w:r w:rsidRPr="005A5267">
        <w:t>202</w:t>
      </w:r>
      <w:r w:rsidR="004044A5">
        <w:t>5</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0C887B15" w14:textId="77777777" w:rsidR="00BE4C01" w:rsidRDefault="00BE4C01"/>
          <w:p w14:paraId="7580127B" w14:textId="77777777" w:rsidR="00FC3515" w:rsidRDefault="00FC3515"/>
          <w:p w14:paraId="28D8074B" w14:textId="77917352" w:rsidR="007E46BF" w:rsidRDefault="007E46BF">
            <w:r>
              <w:t xml:space="preserve">Implementering af nye EU-regler om fjernsalg af finansielle tjenesteydelser: </w:t>
            </w:r>
            <w:hyperlink w:anchor="A" w:history="1">
              <w:r w:rsidRPr="007E46BF">
                <w:rPr>
                  <w:rStyle w:val="Hyperlink"/>
                </w:rPr>
                <w:t>link</w:t>
              </w:r>
            </w:hyperlink>
          </w:p>
          <w:p w14:paraId="41E8ADC0" w14:textId="77777777" w:rsidR="007E46BF" w:rsidRDefault="007E46BF"/>
          <w:p w14:paraId="112A45CC" w14:textId="19A1D25A" w:rsidR="008312DE" w:rsidRDefault="008312DE">
            <w:r>
              <w:t xml:space="preserve">Ændringer </w:t>
            </w:r>
            <w:r w:rsidR="009554E1">
              <w:t xml:space="preserve">af </w:t>
            </w:r>
            <w:r w:rsidR="00913F01">
              <w:t>lovkrav om indrapporteringer</w:t>
            </w:r>
            <w:r w:rsidR="009554E1">
              <w:t>, egnethed og hæderlighed m.v.</w:t>
            </w:r>
            <w:r w:rsidR="00913F01">
              <w:t xml:space="preserve">: </w:t>
            </w:r>
            <w:hyperlink w:anchor="B" w:history="1">
              <w:r w:rsidR="00913F01" w:rsidRPr="00913F01">
                <w:rPr>
                  <w:rStyle w:val="Hyperlink"/>
                </w:rPr>
                <w:t>link</w:t>
              </w:r>
            </w:hyperlink>
          </w:p>
          <w:p w14:paraId="41C0A4F7" w14:textId="77777777" w:rsidR="007E46BF" w:rsidRDefault="007E46BF"/>
          <w:p w14:paraId="0D75CEB2" w14:textId="6504C9B2" w:rsidR="0040630A" w:rsidRDefault="0040630A">
            <w:r>
              <w:t xml:space="preserve">Ny bekendtgørelse af lov om kapitalmarkeder: </w:t>
            </w:r>
            <w:hyperlink w:anchor="C" w:history="1">
              <w:r w:rsidRPr="0040630A">
                <w:rPr>
                  <w:rStyle w:val="Hyperlink"/>
                </w:rPr>
                <w:t>link</w:t>
              </w:r>
            </w:hyperlink>
          </w:p>
          <w:p w14:paraId="28EDE0DD" w14:textId="77777777" w:rsidR="0040630A" w:rsidRDefault="0040630A"/>
          <w:p w14:paraId="7C60661A" w14:textId="190AB866" w:rsidR="00F4156E" w:rsidRDefault="005817FC">
            <w:r>
              <w:t xml:space="preserve">Begrænset adgang til registre over reelle ejere: </w:t>
            </w:r>
            <w:hyperlink w:anchor="C1" w:history="1">
              <w:r w:rsidRPr="005817FC">
                <w:rPr>
                  <w:rStyle w:val="Hyperlink"/>
                </w:rPr>
                <w:t>link</w:t>
              </w:r>
            </w:hyperlink>
          </w:p>
          <w:p w14:paraId="06E7A280" w14:textId="77777777" w:rsidR="00F4156E" w:rsidRDefault="00F4156E"/>
          <w:p w14:paraId="7C16053E" w14:textId="3110969B" w:rsidR="002A4755" w:rsidRDefault="002A4755">
            <w:r>
              <w:t xml:space="preserve">Ny regnskabsbekendtgørelse: </w:t>
            </w:r>
            <w:hyperlink w:anchor="D" w:history="1">
              <w:r w:rsidRPr="002A4755">
                <w:rPr>
                  <w:rStyle w:val="Hyperlink"/>
                </w:rPr>
                <w:t>link</w:t>
              </w:r>
            </w:hyperlink>
          </w:p>
          <w:p w14:paraId="4B54DCD7" w14:textId="77777777" w:rsidR="007E46BF" w:rsidRDefault="007E46BF"/>
          <w:p w14:paraId="1AE0E190" w14:textId="617D57DD" w:rsidR="008F5FD1" w:rsidRDefault="008F5FD1">
            <w:r>
              <w:t>Temarapport om værdipapirhandleres dokumentation</w:t>
            </w:r>
            <w:r w:rsidR="001D1CFA">
              <w:t xml:space="preserve">: </w:t>
            </w:r>
            <w:hyperlink w:anchor="E" w:history="1">
              <w:r w:rsidR="001D1CFA" w:rsidRPr="001D1CFA">
                <w:rPr>
                  <w:rStyle w:val="Hyperlink"/>
                </w:rPr>
                <w:t>link</w:t>
              </w:r>
            </w:hyperlink>
          </w:p>
          <w:p w14:paraId="50382ABF" w14:textId="77777777" w:rsidR="001D1CFA" w:rsidRDefault="001D1CFA"/>
          <w:p w14:paraId="6B488574" w14:textId="5EC2ACF8" w:rsidR="001D1CFA" w:rsidRDefault="00990D0A">
            <w:r>
              <w:t xml:space="preserve">Ny bekendtgørelse om indberetning til Erhvervsstyrelsen: </w:t>
            </w:r>
            <w:hyperlink w:anchor="F" w:history="1">
              <w:r w:rsidRPr="00990D0A">
                <w:rPr>
                  <w:rStyle w:val="Hyperlink"/>
                </w:rPr>
                <w:t>link</w:t>
              </w:r>
            </w:hyperlink>
          </w:p>
          <w:p w14:paraId="1760D760" w14:textId="77777777" w:rsidR="008F5FD1" w:rsidRDefault="008F5FD1"/>
          <w:p w14:paraId="3BFEDB1C" w14:textId="77F1A6D9" w:rsidR="00570EEF" w:rsidRDefault="00570EEF">
            <w:r>
              <w:t xml:space="preserve">Opdateringer af Kommissionens liste over højrisikolande: </w:t>
            </w:r>
            <w:hyperlink w:anchor="G" w:history="1">
              <w:r w:rsidRPr="00570EEF">
                <w:rPr>
                  <w:rStyle w:val="Hyperlink"/>
                </w:rPr>
                <w:t>link</w:t>
              </w:r>
            </w:hyperlink>
          </w:p>
          <w:p w14:paraId="1A762910" w14:textId="77777777" w:rsidR="00570EEF" w:rsidRDefault="00570EEF"/>
          <w:p w14:paraId="4B969D8A" w14:textId="50736B2F" w:rsidR="00573F45" w:rsidRDefault="00573F45">
            <w:r>
              <w:t xml:space="preserve">Uddybende regler for </w:t>
            </w:r>
            <w:r w:rsidRPr="00B01EF6">
              <w:t>trusselsstyrede penetrationstest</w:t>
            </w:r>
            <w:r>
              <w:t>s</w:t>
            </w:r>
            <w:r>
              <w:t xml:space="preserve"> under DORA: </w:t>
            </w:r>
            <w:hyperlink w:anchor="H" w:history="1">
              <w:r w:rsidRPr="00573F45">
                <w:rPr>
                  <w:rStyle w:val="Hyperlink"/>
                </w:rPr>
                <w:t>link</w:t>
              </w:r>
            </w:hyperlink>
          </w:p>
          <w:p w14:paraId="596A74CE" w14:textId="77777777" w:rsidR="00573F45" w:rsidRDefault="00573F45"/>
          <w:p w14:paraId="774E809C" w14:textId="77777777" w:rsidR="00FC3515" w:rsidRDefault="00FC3515"/>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18290531" w14:textId="77777777" w:rsidR="00BE4C01" w:rsidRDefault="00BE4C01"/>
          <w:p w14:paraId="502FC368" w14:textId="77777777" w:rsidR="00FC3515" w:rsidRDefault="00FC3515"/>
          <w:p w14:paraId="4EE5A507" w14:textId="583F19C0" w:rsidR="008A1EFD" w:rsidRPr="008A1EFD" w:rsidRDefault="001175D0" w:rsidP="008A1EFD">
            <w:pPr>
              <w:rPr>
                <w:b/>
                <w:bCs/>
              </w:rPr>
            </w:pPr>
            <w:bookmarkStart w:id="0" w:name="A"/>
            <w:r>
              <w:rPr>
                <w:b/>
                <w:bCs/>
              </w:rPr>
              <w:t>L</w:t>
            </w:r>
            <w:r w:rsidR="008A1EFD" w:rsidRPr="008A1EFD">
              <w:rPr>
                <w:b/>
                <w:bCs/>
              </w:rPr>
              <w:t xml:space="preserve">ov </w:t>
            </w:r>
            <w:r w:rsidRPr="001175D0">
              <w:rPr>
                <w:b/>
                <w:bCs/>
              </w:rPr>
              <w:t>nr</w:t>
            </w:r>
            <w:r>
              <w:rPr>
                <w:b/>
                <w:bCs/>
              </w:rPr>
              <w:t>.</w:t>
            </w:r>
            <w:r w:rsidRPr="001175D0">
              <w:rPr>
                <w:b/>
                <w:bCs/>
              </w:rPr>
              <w:t xml:space="preserve"> 723 af 20</w:t>
            </w:r>
            <w:r>
              <w:rPr>
                <w:b/>
                <w:bCs/>
              </w:rPr>
              <w:t xml:space="preserve">. juni </w:t>
            </w:r>
            <w:r w:rsidRPr="001175D0">
              <w:rPr>
                <w:b/>
                <w:bCs/>
              </w:rPr>
              <w:t>2025</w:t>
            </w:r>
            <w:r>
              <w:rPr>
                <w:b/>
                <w:bCs/>
              </w:rPr>
              <w:t xml:space="preserve"> </w:t>
            </w:r>
            <w:r w:rsidR="008A1EFD" w:rsidRPr="008A1EFD">
              <w:rPr>
                <w:b/>
                <w:bCs/>
              </w:rPr>
              <w:t>om ændring af lov om forbrugeraftaler og lov om forsikringsaftaler (Øget forbrugerbeskyttelse ved fjernsalg af finansielle tjenesteydelser)</w:t>
            </w:r>
          </w:p>
          <w:bookmarkEnd w:id="0"/>
          <w:p w14:paraId="03E094B2" w14:textId="77777777" w:rsidR="008A1EFD" w:rsidRDefault="008A1EFD" w:rsidP="008A1EFD"/>
          <w:p w14:paraId="1ABB9620" w14:textId="6DFA351A" w:rsidR="008A1EFD" w:rsidRPr="008A1EFD" w:rsidRDefault="008A1EFD" w:rsidP="00E37324">
            <w:r w:rsidRPr="008A1EFD">
              <w:t>Formålet med loven er at gennemføre direktiv 2023/2673/EU om ændring af direktiv 2011/83/EU for så vidt angår aftaler om finansielle tjenesteydelser indgået ved fjernsalg og om ophævelse af direktiv 2002/65/EF. Loven, som ændrer i forbrugeraftaleloven og forsikringsaftaleloven, indeholder bl.a.</w:t>
            </w:r>
            <w:r w:rsidR="00E37324">
              <w:t xml:space="preserve"> r</w:t>
            </w:r>
            <w:r w:rsidRPr="008A1EFD">
              <w:t>eviderede bestemmelser om oplysningskrav i forbindelse med aftaler om fjernsalg af finansielle tjenesteydelser til forbrugerne</w:t>
            </w:r>
            <w:r w:rsidR="00E37324">
              <w:t>.</w:t>
            </w:r>
          </w:p>
          <w:p w14:paraId="504434C5" w14:textId="77777777" w:rsidR="005D174E" w:rsidRDefault="005D174E" w:rsidP="008A1EFD"/>
          <w:p w14:paraId="297B0891" w14:textId="38AC97B1" w:rsidR="008A1EFD" w:rsidRPr="008A1EFD" w:rsidRDefault="008A1EFD" w:rsidP="008A1EFD">
            <w:r w:rsidRPr="008A1EFD">
              <w:t xml:space="preserve">Loven </w:t>
            </w:r>
            <w:r w:rsidR="00E94D61">
              <w:t>trådte</w:t>
            </w:r>
            <w:r w:rsidRPr="008A1EFD">
              <w:t xml:space="preserve"> i kraft den 19. juni 2026.</w:t>
            </w:r>
          </w:p>
          <w:p w14:paraId="13470120" w14:textId="77777777" w:rsidR="008A1EFD" w:rsidRDefault="008A1EFD" w:rsidP="008A1EFD"/>
          <w:p w14:paraId="70046C54" w14:textId="656101F9" w:rsidR="008A1EFD" w:rsidRPr="008A1EFD" w:rsidRDefault="008A1EFD" w:rsidP="008A1EFD">
            <w:r w:rsidRPr="008A1EFD">
              <w:t>(</w:t>
            </w:r>
            <w:r w:rsidR="00B14ED6">
              <w:t>Offentliggjort</w:t>
            </w:r>
            <w:r w:rsidRPr="008A1EFD">
              <w:t xml:space="preserve"> den </w:t>
            </w:r>
            <w:r w:rsidR="00B14ED6">
              <w:t>21</w:t>
            </w:r>
            <w:r w:rsidRPr="008A1EFD">
              <w:t>. juni 2025,</w:t>
            </w:r>
            <w:r w:rsidR="00355912">
              <w:t xml:space="preserve"> </w:t>
            </w:r>
            <w:hyperlink r:id="rId8" w:history="1">
              <w:r w:rsidR="00355912" w:rsidRPr="00355912">
                <w:rPr>
                  <w:rStyle w:val="Hyperlink"/>
                </w:rPr>
                <w:t>link</w:t>
              </w:r>
            </w:hyperlink>
            <w:r w:rsidR="00355912">
              <w:t>)</w:t>
            </w:r>
          </w:p>
          <w:p w14:paraId="69BBC0DF" w14:textId="77777777" w:rsidR="008A1EFD" w:rsidRDefault="008A1EFD"/>
          <w:p w14:paraId="1A820745" w14:textId="77777777" w:rsidR="007E46BF" w:rsidRDefault="007E46BF"/>
          <w:p w14:paraId="580C40EC" w14:textId="77777777" w:rsidR="00A92EEA" w:rsidRDefault="00E05626" w:rsidP="00EB1CC9">
            <w:pPr>
              <w:rPr>
                <w:b/>
                <w:bCs/>
              </w:rPr>
            </w:pPr>
            <w:bookmarkStart w:id="1" w:name="B"/>
            <w:r>
              <w:rPr>
                <w:b/>
                <w:bCs/>
              </w:rPr>
              <w:t>L</w:t>
            </w:r>
            <w:r w:rsidR="00EB1CC9" w:rsidRPr="00EB1CC9">
              <w:rPr>
                <w:b/>
                <w:bCs/>
              </w:rPr>
              <w:t xml:space="preserve">ov </w:t>
            </w:r>
            <w:r w:rsidRPr="00E05626">
              <w:rPr>
                <w:b/>
                <w:bCs/>
              </w:rPr>
              <w:t>nr</w:t>
            </w:r>
            <w:r>
              <w:rPr>
                <w:b/>
                <w:bCs/>
              </w:rPr>
              <w:t>.</w:t>
            </w:r>
            <w:r w:rsidRPr="00E05626">
              <w:rPr>
                <w:b/>
                <w:bCs/>
              </w:rPr>
              <w:t xml:space="preserve"> 712 af 20</w:t>
            </w:r>
            <w:r>
              <w:rPr>
                <w:b/>
                <w:bCs/>
              </w:rPr>
              <w:t xml:space="preserve">. juni </w:t>
            </w:r>
            <w:r w:rsidRPr="00E05626">
              <w:rPr>
                <w:b/>
                <w:bCs/>
              </w:rPr>
              <w:t>2025</w:t>
            </w:r>
            <w:r>
              <w:rPr>
                <w:b/>
                <w:bCs/>
              </w:rPr>
              <w:t xml:space="preserve"> </w:t>
            </w:r>
            <w:r w:rsidR="00EB1CC9" w:rsidRPr="00EB1CC9">
              <w:rPr>
                <w:b/>
                <w:bCs/>
              </w:rPr>
              <w:t>om ændring af lov om finansiel virksomhed, lov om forvaltere af alternative investeringsfonde m.v., lov om investeringsforeninger m.v., hvidvaskloven og forskellige andre love.</w:t>
            </w:r>
            <w:r>
              <w:rPr>
                <w:b/>
                <w:bCs/>
              </w:rPr>
              <w:t xml:space="preserve"> </w:t>
            </w:r>
            <w:bookmarkEnd w:id="1"/>
          </w:p>
          <w:p w14:paraId="3550C06D" w14:textId="733F221A" w:rsidR="00EB1CC9" w:rsidRPr="00EB1CC9" w:rsidRDefault="00EB1CC9" w:rsidP="00EB1CC9">
            <w:pPr>
              <w:rPr>
                <w:b/>
                <w:bCs/>
              </w:rPr>
            </w:pPr>
            <w:r w:rsidRPr="00EB1CC9">
              <w:lastRenderedPageBreak/>
              <w:t xml:space="preserve">(Håndtering af </w:t>
            </w:r>
            <w:proofErr w:type="spellStart"/>
            <w:r w:rsidRPr="00EB1CC9">
              <w:t>kryptoeksponeringer</w:t>
            </w:r>
            <w:proofErr w:type="spellEnd"/>
            <w:r w:rsidRPr="00EB1CC9">
              <w:t xml:space="preserve">, udarbejdelse af ESG-omstillingsplaner, nye dokumentationskrav for institutternes ledelsesstruktur, ansvarsfordeling og rapporteringslinjer, tydeligere regler for tilladelse til kreditinstitutter fra lande uden for EU/EØS (tredjelande), ny tilsynsbeføjelse til Finanstilsynet om godkendelse af væsentlige erhvervelser af kapitalandele i andre selskaber, </w:t>
            </w:r>
            <w:proofErr w:type="spellStart"/>
            <w:r w:rsidRPr="00EB1CC9">
              <w:t>strafbelæggelse</w:t>
            </w:r>
            <w:proofErr w:type="spellEnd"/>
            <w:r w:rsidRPr="00EB1CC9">
              <w:t xml:space="preserve"> af </w:t>
            </w:r>
            <w:proofErr w:type="spellStart"/>
            <w:r w:rsidRPr="00EB1CC9">
              <w:t>disclosureforordningen</w:t>
            </w:r>
            <w:proofErr w:type="spellEnd"/>
            <w:r w:rsidRPr="00EB1CC9">
              <w:t>, modernisering af reglerne i FAIF-UCITS II-direktivet, styrkelse af reglerne om bekæmpelsen af national og international hvidvask og oprettelse af et fælleseuropæisk adgangspunkt (ESAP) til indsendelse af en række offentliggjorte oplysninger m.v.).</w:t>
            </w:r>
          </w:p>
          <w:p w14:paraId="6D86514D" w14:textId="77777777" w:rsidR="00EB1CC9" w:rsidRDefault="00EB1CC9" w:rsidP="00EB1CC9"/>
          <w:p w14:paraId="75F2DFEC" w14:textId="3B20D6AE" w:rsidR="00EB1CC9" w:rsidRPr="00EB1CC9" w:rsidRDefault="00EB1CC9" w:rsidP="00EB1CC9">
            <w:r w:rsidRPr="00EB1CC9">
              <w:t xml:space="preserve">Lovændringerne </w:t>
            </w:r>
            <w:r w:rsidR="001A5669">
              <w:t>omfatter bl.a. ændringer i</w:t>
            </w:r>
            <w:r w:rsidR="001A5669" w:rsidRPr="001A5669">
              <w:t xml:space="preserve"> lov om fondsmæglerselskaber og investeringsservice og -aktivitete</w:t>
            </w:r>
            <w:r w:rsidR="003141E4">
              <w:t>r.</w:t>
            </w:r>
            <w:r w:rsidR="008312DE">
              <w:t xml:space="preserve"> </w:t>
            </w:r>
            <w:r w:rsidR="003141E4">
              <w:t xml:space="preserve">Loven </w:t>
            </w:r>
            <w:r w:rsidRPr="00EB1CC9">
              <w:t xml:space="preserve">indebærer </w:t>
            </w:r>
            <w:r w:rsidR="006F1CCF">
              <w:t>herunder</w:t>
            </w:r>
            <w:r w:rsidRPr="00EB1CC9">
              <w:t>:</w:t>
            </w:r>
          </w:p>
          <w:p w14:paraId="681CA4DE" w14:textId="0BC7D154" w:rsidR="00F51C6E" w:rsidRDefault="00FB6D31" w:rsidP="00BF2481">
            <w:pPr>
              <w:pStyle w:val="Listeafsnit"/>
              <w:numPr>
                <w:ilvl w:val="0"/>
                <w:numId w:val="2"/>
              </w:numPr>
            </w:pPr>
            <w:r>
              <w:t>Ændringer i definitionen på en dattervirksomhed.</w:t>
            </w:r>
          </w:p>
          <w:p w14:paraId="609D0FF8" w14:textId="42E0A1EA" w:rsidR="0026701C" w:rsidRDefault="0026701C" w:rsidP="0026701C">
            <w:pPr>
              <w:pStyle w:val="Listeafsnit"/>
              <w:numPr>
                <w:ilvl w:val="0"/>
                <w:numId w:val="2"/>
              </w:numPr>
            </w:pPr>
            <w:r>
              <w:t>Krav om indsendelse til Finanstilsynet af den offentliggjorte politik om aktivt ejerskab.</w:t>
            </w:r>
          </w:p>
          <w:p w14:paraId="69355C2E" w14:textId="77777777" w:rsidR="00CE5C65" w:rsidRDefault="00CF3A1A" w:rsidP="0026701C">
            <w:pPr>
              <w:pStyle w:val="Listeafsnit"/>
              <w:numPr>
                <w:ilvl w:val="0"/>
                <w:numId w:val="2"/>
              </w:numPr>
            </w:pPr>
            <w:r>
              <w:t xml:space="preserve">Indsættelse af et lovgrundlag for, at Finanstilsynet ved tiltrædelse af nye ledelsesmedlemmer påser disses egnethed og hæderlighed. </w:t>
            </w:r>
            <w:proofErr w:type="gramStart"/>
            <w:r w:rsidR="00874437">
              <w:t>Endvidere</w:t>
            </w:r>
            <w:proofErr w:type="gramEnd"/>
            <w:r w:rsidR="00874437">
              <w:t xml:space="preserve"> fastsættelse af mulighed for betingede godkendelser samt krav om varighed ved afgørelser om</w:t>
            </w:r>
            <w:r w:rsidR="00255DB7">
              <w:t xml:space="preserve">, at ledelsesmedlemmet ikke opfylder kravene om egnethed og hæderlighed. </w:t>
            </w:r>
          </w:p>
          <w:p w14:paraId="55F1D9CC" w14:textId="77777777" w:rsidR="00D001F8" w:rsidRDefault="00CF0CC8" w:rsidP="00EB1CC9">
            <w:pPr>
              <w:pStyle w:val="Listeafsnit"/>
              <w:numPr>
                <w:ilvl w:val="0"/>
                <w:numId w:val="2"/>
              </w:numPr>
            </w:pPr>
            <w:r>
              <w:t>Ændringer i r</w:t>
            </w:r>
            <w:r w:rsidR="00CE5C65" w:rsidRPr="00CE5C65">
              <w:t xml:space="preserve">eglerne om, hvilke forpligtelser der kan anvendes til at opfylde kravet om nedskrivningsegnede passiver, jf. §§ 202 og 205 i lov om fondsmæglerselskaber og investeringsservice og -aktiviteter, med hensyn til anvendelse af supplerende kapitalinstrumenter, så de stemmer overens med kravene i BRRD II. </w:t>
            </w:r>
            <w:r w:rsidR="00CF3A1A">
              <w:t xml:space="preserve"> </w:t>
            </w:r>
          </w:p>
          <w:p w14:paraId="0F7C94BF" w14:textId="3A3D5302" w:rsidR="00EB1CC9" w:rsidRPr="00EB1CC9" w:rsidRDefault="00660F68" w:rsidP="00EB1CC9">
            <w:pPr>
              <w:pStyle w:val="Listeafsnit"/>
              <w:numPr>
                <w:ilvl w:val="0"/>
                <w:numId w:val="2"/>
              </w:numPr>
            </w:pPr>
            <w:r>
              <w:t xml:space="preserve">Implementering af reglerne om </w:t>
            </w:r>
            <w:r w:rsidR="00946439">
              <w:t xml:space="preserve">indberetning til et </w:t>
            </w:r>
            <w:r w:rsidRPr="00660F68">
              <w:t>fælles europæiske adgangspunkt (ESAP)</w:t>
            </w:r>
            <w:r w:rsidR="00EB1CC9" w:rsidRPr="00EB1CC9">
              <w:t>.</w:t>
            </w:r>
          </w:p>
          <w:p w14:paraId="2CED7FFE" w14:textId="77777777" w:rsidR="00EB1CC9" w:rsidRDefault="00EB1CC9" w:rsidP="00EB1CC9"/>
          <w:p w14:paraId="396310A5" w14:textId="7C413BD0" w:rsidR="00EB1CC9" w:rsidRPr="00EB1CC9" w:rsidRDefault="00EB1CC9" w:rsidP="00EB1CC9">
            <w:r w:rsidRPr="00EB1CC9">
              <w:t>(</w:t>
            </w:r>
            <w:r w:rsidR="00ED7CBA">
              <w:t xml:space="preserve">Offentliggjort </w:t>
            </w:r>
            <w:r w:rsidRPr="00EB1CC9">
              <w:t xml:space="preserve">den </w:t>
            </w:r>
            <w:r w:rsidR="00ED7CBA">
              <w:t>2</w:t>
            </w:r>
            <w:r w:rsidRPr="00EB1CC9">
              <w:t>1. juni 2025</w:t>
            </w:r>
            <w:r w:rsidR="00ED7CBA">
              <w:t xml:space="preserve">, </w:t>
            </w:r>
            <w:hyperlink r:id="rId9" w:history="1">
              <w:r w:rsidR="00ED7CBA" w:rsidRPr="00ED7CBA">
                <w:rPr>
                  <w:rStyle w:val="Hyperlink"/>
                </w:rPr>
                <w:t>link</w:t>
              </w:r>
            </w:hyperlink>
            <w:r w:rsidR="00ED7CBA">
              <w:t>)</w:t>
            </w:r>
          </w:p>
          <w:p w14:paraId="38EF3D2D" w14:textId="77777777" w:rsidR="008A1EFD" w:rsidRDefault="008A1EFD"/>
          <w:p w14:paraId="76C24C59" w14:textId="77777777" w:rsidR="00946439" w:rsidRDefault="00946439"/>
          <w:p w14:paraId="228AB8C2" w14:textId="77777777" w:rsidR="0014384E" w:rsidRPr="00787598" w:rsidRDefault="0014384E" w:rsidP="0014384E">
            <w:pPr>
              <w:jc w:val="both"/>
              <w:rPr>
                <w:b/>
                <w:bCs/>
              </w:rPr>
            </w:pPr>
            <w:bookmarkStart w:id="2" w:name="C"/>
            <w:r w:rsidRPr="00787598">
              <w:rPr>
                <w:b/>
                <w:bCs/>
              </w:rPr>
              <w:t xml:space="preserve">Bekendtgørelse </w:t>
            </w:r>
            <w:r w:rsidRPr="005D3B8E">
              <w:rPr>
                <w:b/>
                <w:bCs/>
              </w:rPr>
              <w:t>nr</w:t>
            </w:r>
            <w:r>
              <w:rPr>
                <w:b/>
                <w:bCs/>
              </w:rPr>
              <w:t>.</w:t>
            </w:r>
            <w:r w:rsidRPr="005D3B8E">
              <w:rPr>
                <w:b/>
                <w:bCs/>
              </w:rPr>
              <w:t xml:space="preserve"> 652 af 10</w:t>
            </w:r>
            <w:r>
              <w:rPr>
                <w:b/>
                <w:bCs/>
              </w:rPr>
              <w:t xml:space="preserve">. juni </w:t>
            </w:r>
            <w:r w:rsidRPr="005D3B8E">
              <w:rPr>
                <w:b/>
                <w:bCs/>
              </w:rPr>
              <w:t>2025</w:t>
            </w:r>
            <w:r>
              <w:rPr>
                <w:b/>
                <w:bCs/>
              </w:rPr>
              <w:t xml:space="preserve"> </w:t>
            </w:r>
            <w:r w:rsidRPr="00787598">
              <w:rPr>
                <w:b/>
                <w:bCs/>
              </w:rPr>
              <w:t>af lov om kapitalmarkeder</w:t>
            </w:r>
          </w:p>
          <w:bookmarkEnd w:id="2"/>
          <w:p w14:paraId="15A5B09F" w14:textId="77777777" w:rsidR="00946439" w:rsidRDefault="00946439" w:rsidP="0014384E">
            <w:pPr>
              <w:jc w:val="both"/>
            </w:pPr>
          </w:p>
          <w:p w14:paraId="3EDEC165" w14:textId="4332F9CB" w:rsidR="0014384E" w:rsidRDefault="0014384E" w:rsidP="0014384E">
            <w:pPr>
              <w:jc w:val="both"/>
            </w:pPr>
            <w:r>
              <w:t>En ny lovbekendtgørelse er offentliggjort.</w:t>
            </w:r>
          </w:p>
          <w:p w14:paraId="0909C731" w14:textId="77777777" w:rsidR="00946439" w:rsidRDefault="00946439" w:rsidP="0014384E">
            <w:pPr>
              <w:jc w:val="both"/>
            </w:pPr>
          </w:p>
          <w:p w14:paraId="02AE0E25" w14:textId="10758F5E" w:rsidR="0014384E" w:rsidRDefault="0014384E" w:rsidP="0014384E">
            <w:pPr>
              <w:jc w:val="both"/>
            </w:pPr>
            <w:r>
              <w:t xml:space="preserve">(Offentliggjort den 13. juni 2025, </w:t>
            </w:r>
            <w:hyperlink r:id="rId10" w:history="1">
              <w:r w:rsidRPr="00787598">
                <w:rPr>
                  <w:rStyle w:val="Hyperlink"/>
                </w:rPr>
                <w:t>link</w:t>
              </w:r>
            </w:hyperlink>
            <w:r>
              <w:t>)</w:t>
            </w:r>
          </w:p>
          <w:p w14:paraId="0FEA1740" w14:textId="77777777" w:rsidR="0014384E" w:rsidRDefault="0014384E"/>
          <w:p w14:paraId="36E41915" w14:textId="77777777" w:rsidR="00946439" w:rsidRDefault="00946439"/>
          <w:p w14:paraId="42945A35" w14:textId="77777777" w:rsidR="000356E7" w:rsidRPr="00B95777" w:rsidRDefault="000356E7" w:rsidP="000356E7">
            <w:pPr>
              <w:jc w:val="both"/>
              <w:rPr>
                <w:b/>
                <w:bCs/>
              </w:rPr>
            </w:pPr>
            <w:bookmarkStart w:id="3" w:name="C1"/>
            <w:r w:rsidRPr="00B95777">
              <w:rPr>
                <w:b/>
                <w:bCs/>
              </w:rPr>
              <w:t>Lov</w:t>
            </w:r>
            <w:r w:rsidRPr="00B4028B">
              <w:rPr>
                <w:b/>
                <w:bCs/>
              </w:rPr>
              <w:t xml:space="preserve"> nr</w:t>
            </w:r>
            <w:r w:rsidRPr="00B95777">
              <w:rPr>
                <w:b/>
                <w:bCs/>
              </w:rPr>
              <w:t>.</w:t>
            </w:r>
            <w:r w:rsidRPr="00B4028B">
              <w:rPr>
                <w:b/>
                <w:bCs/>
              </w:rPr>
              <w:t xml:space="preserve"> 710 af 20</w:t>
            </w:r>
            <w:r w:rsidRPr="00B95777">
              <w:rPr>
                <w:b/>
                <w:bCs/>
              </w:rPr>
              <w:t xml:space="preserve">. juni </w:t>
            </w:r>
            <w:r w:rsidRPr="00B4028B">
              <w:rPr>
                <w:b/>
                <w:bCs/>
              </w:rPr>
              <w:t>2025</w:t>
            </w:r>
            <w:r w:rsidRPr="00B95777">
              <w:rPr>
                <w:b/>
                <w:bCs/>
              </w:rPr>
              <w:t xml:space="preserve"> </w:t>
            </w:r>
            <w:r w:rsidRPr="00B4028B">
              <w:rPr>
                <w:b/>
                <w:bCs/>
              </w:rPr>
              <w:t>om ændring af lov om Det Centrale Virksomhedsregister, selskabsloven og forskellige andre love</w:t>
            </w:r>
            <w:r w:rsidRPr="00B95777">
              <w:rPr>
                <w:b/>
                <w:bCs/>
              </w:rPr>
              <w:t xml:space="preserve"> (Begrænsning af adgangen til oplysninger om reelle ejere som følge af 6. hvidvaskdirektiv)</w:t>
            </w:r>
          </w:p>
          <w:bookmarkEnd w:id="3"/>
          <w:p w14:paraId="301295EE" w14:textId="77777777" w:rsidR="00E34FFA" w:rsidRDefault="00E34FFA" w:rsidP="000356E7">
            <w:pPr>
              <w:jc w:val="both"/>
            </w:pPr>
          </w:p>
          <w:p w14:paraId="50556D95" w14:textId="5E20EC35" w:rsidR="000356E7" w:rsidRDefault="000356E7" w:rsidP="000356E7">
            <w:pPr>
              <w:jc w:val="both"/>
            </w:pPr>
            <w:r>
              <w:t xml:space="preserve">Loven gennemfører dele af 6. hvidvaskdirektiv, som bl.a. har bl.a. til formål at sikre efterlevelse af EU-dommen af 22. november 2022 i de forenede sager C-37/20 og C-601/20, hvorefter adgangen til oplysninger om reelle ejere for den brede offentlighed blev kendt ugyldig. </w:t>
            </w:r>
          </w:p>
          <w:p w14:paraId="4F7B3D11" w14:textId="77777777" w:rsidR="00E34FFA" w:rsidRDefault="00E34FFA" w:rsidP="000356E7">
            <w:pPr>
              <w:jc w:val="both"/>
            </w:pPr>
          </w:p>
          <w:p w14:paraId="7859CE28" w14:textId="26ECF011" w:rsidR="000356E7" w:rsidRDefault="000356E7" w:rsidP="000356E7">
            <w:pPr>
              <w:jc w:val="both"/>
            </w:pPr>
            <w:r w:rsidRPr="00050031">
              <w:t xml:space="preserve">Med </w:t>
            </w:r>
            <w:r>
              <w:t xml:space="preserve">loven begrænses </w:t>
            </w:r>
            <w:r w:rsidRPr="00050031">
              <w:t>adgangen til registeret over reelle ejere, så der fremover alene er adgang for kompetente myndigheder, forpligtede enheder</w:t>
            </w:r>
            <w:r>
              <w:t>, der gennemfører kundekendskabsprocedurer</w:t>
            </w:r>
            <w:r w:rsidR="00720A6D">
              <w:t>,</w:t>
            </w:r>
            <w:r w:rsidRPr="00050031">
              <w:t xml:space="preserve"> og personer med en legitim interesse. Erhvervsstyrelsen bemyndiges i den forbindelse til at fastsætte nærmere regler om</w:t>
            </w:r>
            <w:r>
              <w:t xml:space="preserve"> adgangen</w:t>
            </w:r>
            <w:r w:rsidRPr="00050031">
              <w:t>. </w:t>
            </w:r>
          </w:p>
          <w:p w14:paraId="2335D45B" w14:textId="77777777" w:rsidR="00E34FFA" w:rsidRDefault="00E34FFA" w:rsidP="000356E7">
            <w:pPr>
              <w:jc w:val="both"/>
            </w:pPr>
          </w:p>
          <w:p w14:paraId="2846DD5A" w14:textId="45E2A737" w:rsidR="000356E7" w:rsidRDefault="000356E7" w:rsidP="000356E7">
            <w:pPr>
              <w:jc w:val="both"/>
            </w:pPr>
            <w:r w:rsidRPr="003D4C63">
              <w:t>Erhvervsministeren fastsætter tidspunktet for lovens ikrafttræden.</w:t>
            </w:r>
          </w:p>
          <w:p w14:paraId="6CEA582B" w14:textId="77777777" w:rsidR="00E34FFA" w:rsidRDefault="00E34FFA" w:rsidP="000356E7">
            <w:pPr>
              <w:jc w:val="both"/>
            </w:pPr>
          </w:p>
          <w:p w14:paraId="41A6933F" w14:textId="632065B2" w:rsidR="000356E7" w:rsidRDefault="000356E7" w:rsidP="000356E7">
            <w:pPr>
              <w:jc w:val="both"/>
            </w:pPr>
            <w:r>
              <w:t xml:space="preserve">(Offentliggjort den 21. juni 2025, </w:t>
            </w:r>
            <w:hyperlink r:id="rId11" w:history="1">
              <w:r w:rsidRPr="005F1E8C">
                <w:rPr>
                  <w:rStyle w:val="Hyperlink"/>
                </w:rPr>
                <w:t>lin</w:t>
              </w:r>
              <w:r w:rsidRPr="005F1E8C">
                <w:rPr>
                  <w:rStyle w:val="Hyperlink"/>
                </w:rPr>
                <w:t>k</w:t>
              </w:r>
            </w:hyperlink>
            <w:r>
              <w:t>)</w:t>
            </w:r>
          </w:p>
          <w:p w14:paraId="1136A53C" w14:textId="77777777" w:rsidR="00EB1CC9" w:rsidRDefault="00EB1CC9"/>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lastRenderedPageBreak/>
              <w:t>Bekendtgørelse</w:t>
            </w:r>
            <w:r w:rsidR="00136D9B">
              <w:rPr>
                <w:b/>
                <w:bCs/>
              </w:rPr>
              <w:t>r</w:t>
            </w:r>
            <w:r w:rsidRPr="005945AC">
              <w:rPr>
                <w:b/>
                <w:bCs/>
              </w:rPr>
              <w:t xml:space="preserve"> m.v.</w:t>
            </w:r>
          </w:p>
        </w:tc>
      </w:tr>
      <w:tr w:rsidR="00BE4C01" w14:paraId="159B5602" w14:textId="77777777" w:rsidTr="00BE4C01">
        <w:tc>
          <w:tcPr>
            <w:tcW w:w="9628" w:type="dxa"/>
          </w:tcPr>
          <w:p w14:paraId="093DAE26" w14:textId="77777777" w:rsidR="00381704" w:rsidRDefault="00381704" w:rsidP="00381704">
            <w:pPr>
              <w:jc w:val="both"/>
            </w:pPr>
          </w:p>
          <w:p w14:paraId="1E4EAC38" w14:textId="77777777" w:rsidR="00381704" w:rsidRDefault="00381704" w:rsidP="00381704">
            <w:pPr>
              <w:jc w:val="both"/>
            </w:pPr>
            <w:bookmarkStart w:id="4" w:name="D"/>
            <w:r w:rsidRPr="00787598">
              <w:rPr>
                <w:b/>
                <w:bCs/>
              </w:rPr>
              <w:t>Bekendtgørelse</w:t>
            </w:r>
            <w:r w:rsidRPr="00680D37">
              <w:rPr>
                <w:rFonts w:ascii="Questa-Regular" w:hAnsi="Questa-Regular"/>
                <w:sz w:val="30"/>
                <w:szCs w:val="30"/>
                <w:shd w:val="clear" w:color="auto" w:fill="F9F9FB"/>
              </w:rPr>
              <w:t xml:space="preserve"> </w:t>
            </w:r>
            <w:r w:rsidRPr="00680D37">
              <w:rPr>
                <w:b/>
                <w:bCs/>
              </w:rPr>
              <w:t>nr</w:t>
            </w:r>
            <w:r>
              <w:rPr>
                <w:b/>
                <w:bCs/>
              </w:rPr>
              <w:t>.</w:t>
            </w:r>
            <w:r w:rsidRPr="00680D37">
              <w:rPr>
                <w:b/>
                <w:bCs/>
              </w:rPr>
              <w:t xml:space="preserve"> 658 af 23</w:t>
            </w:r>
            <w:r>
              <w:rPr>
                <w:b/>
                <w:bCs/>
              </w:rPr>
              <w:t xml:space="preserve">. maj </w:t>
            </w:r>
            <w:r w:rsidRPr="00680D37">
              <w:rPr>
                <w:b/>
                <w:bCs/>
              </w:rPr>
              <w:t>2025</w:t>
            </w:r>
            <w:r w:rsidRPr="00787598">
              <w:rPr>
                <w:b/>
                <w:bCs/>
              </w:rPr>
              <w:t xml:space="preserve"> om finansielle rapporter for kreditinstitutter og fondsmæglerselskaber m.fl.</w:t>
            </w:r>
          </w:p>
          <w:bookmarkEnd w:id="4"/>
          <w:p w14:paraId="5157FD64" w14:textId="77777777" w:rsidR="001A265C" w:rsidRDefault="001A265C" w:rsidP="00381704">
            <w:pPr>
              <w:jc w:val="both"/>
            </w:pPr>
          </w:p>
          <w:p w14:paraId="4867BA56" w14:textId="77777777" w:rsidR="00BF2481" w:rsidRDefault="00381704" w:rsidP="00381704">
            <w:pPr>
              <w:jc w:val="both"/>
            </w:pPr>
            <w:r>
              <w:t xml:space="preserve">I forhold til den tidligere bekendtgørelse foretages følgende ændringer: </w:t>
            </w:r>
          </w:p>
          <w:p w14:paraId="2E2C9A1C" w14:textId="0FA17B02" w:rsidR="00CD2E85" w:rsidRDefault="00CD2E85" w:rsidP="00CD2E85">
            <w:pPr>
              <w:pStyle w:val="Listeafsnit"/>
              <w:numPr>
                <w:ilvl w:val="0"/>
                <w:numId w:val="3"/>
              </w:numPr>
              <w:jc w:val="both"/>
            </w:pPr>
            <w:r>
              <w:t>O</w:t>
            </w:r>
            <w:r w:rsidR="00381704">
              <w:t>verførsel af bestemmelser fra Bekendtgørelse om anvendelse af internationale regnskabsstandarder for virksomheder omfattet af lov om finansiel virksomhed (IFRS-bekendtgørelsen for finansielle virksomheder) til regnskabsbekendtgørelsen</w:t>
            </w:r>
            <w:r>
              <w:t>.</w:t>
            </w:r>
            <w:r w:rsidR="00381704">
              <w:t xml:space="preserve"> </w:t>
            </w:r>
          </w:p>
          <w:p w14:paraId="4B31A498" w14:textId="3F2042A0" w:rsidR="00381704" w:rsidRDefault="00CD2E85" w:rsidP="00381704">
            <w:pPr>
              <w:pStyle w:val="Listeafsnit"/>
              <w:numPr>
                <w:ilvl w:val="0"/>
                <w:numId w:val="3"/>
              </w:numPr>
              <w:jc w:val="both"/>
            </w:pPr>
            <w:r>
              <w:t>T</w:t>
            </w:r>
            <w:r w:rsidR="00381704">
              <w:t>ilpasninger som følge af opgavebortfaldsloven og kønsbalanceloven.</w:t>
            </w:r>
          </w:p>
          <w:p w14:paraId="0BB911EC" w14:textId="77777777" w:rsidR="00BF2481" w:rsidRDefault="00BF2481" w:rsidP="00381704">
            <w:pPr>
              <w:jc w:val="both"/>
            </w:pPr>
          </w:p>
          <w:p w14:paraId="4A843804" w14:textId="18AC34DA" w:rsidR="00381704" w:rsidRDefault="00381704" w:rsidP="00381704">
            <w:pPr>
              <w:jc w:val="both"/>
            </w:pPr>
            <w:r>
              <w:t>B</w:t>
            </w:r>
            <w:r w:rsidRPr="00BD72AA">
              <w:t>ekendtgørelsen</w:t>
            </w:r>
            <w:r>
              <w:t xml:space="preserve"> </w:t>
            </w:r>
            <w:r w:rsidR="00CD2E85">
              <w:t>trådte</w:t>
            </w:r>
            <w:r w:rsidRPr="00BD72AA">
              <w:t xml:space="preserve"> i kraft d</w:t>
            </w:r>
            <w:r>
              <w:t>en</w:t>
            </w:r>
            <w:r w:rsidRPr="00BD72AA">
              <w:t xml:space="preserve"> 1. juli 2025</w:t>
            </w:r>
            <w:r>
              <w:t>. Den</w:t>
            </w:r>
            <w:r w:rsidRPr="00DE0CE0">
              <w:t xml:space="preserve"> finder </w:t>
            </w:r>
            <w:r>
              <w:t xml:space="preserve">med visse undtagelser </w:t>
            </w:r>
            <w:r w:rsidRPr="00DE0CE0">
              <w:t>anvendelse på udarbejdelse og aflæggelse af års- og delårsrapporter, der vedrører regnskabsperioder, der begynder den 1. januar 2025</w:t>
            </w:r>
            <w:r w:rsidRPr="00BD72AA">
              <w:t>.</w:t>
            </w:r>
          </w:p>
          <w:p w14:paraId="30A11A74" w14:textId="77777777" w:rsidR="001A265C" w:rsidRDefault="001A265C" w:rsidP="00381704">
            <w:pPr>
              <w:jc w:val="both"/>
            </w:pPr>
          </w:p>
          <w:p w14:paraId="4D65DD0D" w14:textId="37A0D892" w:rsidR="00381704" w:rsidRDefault="00381704" w:rsidP="00381704">
            <w:pPr>
              <w:jc w:val="both"/>
            </w:pPr>
            <w:r>
              <w:t xml:space="preserve">(Offentliggjort den 14. juni 2025, </w:t>
            </w:r>
            <w:hyperlink r:id="rId12" w:history="1">
              <w:r w:rsidRPr="00787598">
                <w:rPr>
                  <w:rStyle w:val="Hyperlink"/>
                </w:rPr>
                <w:t>link</w:t>
              </w:r>
            </w:hyperlink>
            <w:r>
              <w:t>)</w:t>
            </w:r>
          </w:p>
          <w:p w14:paraId="0272CD61" w14:textId="77777777" w:rsidR="00381704" w:rsidRDefault="00381704"/>
          <w:p w14:paraId="6B6F8A8D" w14:textId="77777777" w:rsidR="00734E10" w:rsidRDefault="00734E10"/>
          <w:p w14:paraId="1F3683B2" w14:textId="77777777" w:rsidR="003E1FAB" w:rsidRPr="00D773C4" w:rsidRDefault="003E1FAB" w:rsidP="003E1FAB">
            <w:pPr>
              <w:jc w:val="both"/>
              <w:rPr>
                <w:b/>
                <w:bCs/>
              </w:rPr>
            </w:pPr>
            <w:bookmarkStart w:id="5" w:name="E"/>
            <w:r w:rsidRPr="00D773C4">
              <w:rPr>
                <w:b/>
                <w:bCs/>
              </w:rPr>
              <w:t>Værdipapirhandlere skal sikre opbevaring af deres dokumentation</w:t>
            </w:r>
          </w:p>
          <w:bookmarkEnd w:id="5"/>
          <w:p w14:paraId="06C870B7" w14:textId="77777777" w:rsidR="008F5FD1" w:rsidRDefault="008F5FD1" w:rsidP="003E1FAB">
            <w:pPr>
              <w:jc w:val="both"/>
            </w:pPr>
          </w:p>
          <w:p w14:paraId="0966F858" w14:textId="2F2703C5" w:rsidR="003E1FAB" w:rsidRDefault="003E1FAB" w:rsidP="003E1FAB">
            <w:pPr>
              <w:jc w:val="both"/>
            </w:pPr>
            <w:r>
              <w:t>Finanstilsynet har offentliggjort resultaterne af en t</w:t>
            </w:r>
            <w:r w:rsidRPr="0014226A">
              <w:t>emaundersøgelse</w:t>
            </w:r>
            <w:r>
              <w:t xml:space="preserve"> om o</w:t>
            </w:r>
            <w:r w:rsidRPr="0014226A">
              <w:t>pbevaring af dokumentation og brug af ikkegodkendte kommunikationsmidler hos værdipapirhandlere</w:t>
            </w:r>
            <w:r>
              <w:t xml:space="preserve">. </w:t>
            </w:r>
          </w:p>
          <w:p w14:paraId="2D4472D3" w14:textId="77777777" w:rsidR="00734E10" w:rsidRDefault="00734E10" w:rsidP="003E1FAB">
            <w:pPr>
              <w:jc w:val="both"/>
            </w:pPr>
          </w:p>
          <w:p w14:paraId="4E51EFAE" w14:textId="35F5CE30" w:rsidR="003E1FAB" w:rsidRDefault="003E1FAB" w:rsidP="003E1FAB">
            <w:pPr>
              <w:jc w:val="both"/>
            </w:pPr>
            <w:r>
              <w:t xml:space="preserve">Finanstilsynet finder, at virksomhederne kan blive bedre til at sikre dokumentation for deres investeringsrelaterede aktiviteter og til at opbevare den korrekt. En del af løsningen kan være en højere grad af automatisering og opfølgning på kontrolresultater. </w:t>
            </w:r>
          </w:p>
          <w:p w14:paraId="2E719A48" w14:textId="77777777" w:rsidR="00734E10" w:rsidRDefault="00734E10" w:rsidP="003E1FAB">
            <w:pPr>
              <w:jc w:val="both"/>
            </w:pPr>
          </w:p>
          <w:p w14:paraId="3864CA64" w14:textId="3123333E" w:rsidR="003E1FAB" w:rsidRDefault="003E1FAB" w:rsidP="003E1FAB">
            <w:pPr>
              <w:jc w:val="both"/>
            </w:pPr>
            <w:r>
              <w:t xml:space="preserve">(Offentliggjort den 12. juni 2025, </w:t>
            </w:r>
            <w:hyperlink r:id="rId13" w:history="1">
              <w:r w:rsidRPr="00D773C4">
                <w:rPr>
                  <w:rStyle w:val="Hyperlink"/>
                </w:rPr>
                <w:t>link</w:t>
              </w:r>
            </w:hyperlink>
            <w:r>
              <w:t>)</w:t>
            </w:r>
          </w:p>
          <w:p w14:paraId="726B7363" w14:textId="77777777" w:rsidR="00381704" w:rsidRDefault="00381704"/>
          <w:p w14:paraId="4AA628FE" w14:textId="77777777" w:rsidR="0062647A" w:rsidRDefault="0062647A"/>
          <w:p w14:paraId="2F40A4DF" w14:textId="77777777" w:rsidR="00944D29" w:rsidRPr="00216D08" w:rsidRDefault="00944D29" w:rsidP="00944D29">
            <w:pPr>
              <w:jc w:val="both"/>
              <w:rPr>
                <w:b/>
                <w:bCs/>
              </w:rPr>
            </w:pPr>
            <w:r w:rsidRPr="00216D08">
              <w:rPr>
                <w:b/>
                <w:bCs/>
              </w:rPr>
              <w:t>Pengeinstitutter skal integrere bæredygtighed i deres egnethedstest og produktstyring</w:t>
            </w:r>
          </w:p>
          <w:p w14:paraId="2B88D15D" w14:textId="77777777" w:rsidR="0062647A" w:rsidRDefault="0062647A" w:rsidP="00944D29">
            <w:pPr>
              <w:jc w:val="both"/>
            </w:pPr>
          </w:p>
          <w:p w14:paraId="5E01CE82" w14:textId="7EA78777" w:rsidR="00944D29" w:rsidRDefault="00944D29" w:rsidP="00944D29">
            <w:pPr>
              <w:jc w:val="both"/>
              <w:rPr>
                <w:b/>
                <w:bCs/>
              </w:rPr>
            </w:pPr>
            <w:r w:rsidRPr="00216D08">
              <w:t xml:space="preserve">Finanstilsynet har, som en del af en fælles europæisk tilsynsaktivitet, undersøgt institutternes arbejde med at efterleve </w:t>
            </w:r>
            <w:r>
              <w:t>kravene til integration af bæredygtighed i egnethedstest og produktstyring</w:t>
            </w:r>
            <w:r w:rsidRPr="00216D08">
              <w:t xml:space="preserve">. </w:t>
            </w:r>
            <w:r w:rsidR="00041A13">
              <w:t>Konklusionerne har tilsvarende relevans for fondsmæglerselskaber.</w:t>
            </w:r>
          </w:p>
          <w:p w14:paraId="609905DD" w14:textId="77777777" w:rsidR="00041A13" w:rsidRDefault="00041A13" w:rsidP="00944D29">
            <w:pPr>
              <w:jc w:val="both"/>
            </w:pPr>
          </w:p>
          <w:p w14:paraId="065C46B8" w14:textId="7C04D62A" w:rsidR="00944D29" w:rsidRDefault="00944D29" w:rsidP="00944D29">
            <w:pPr>
              <w:jc w:val="both"/>
              <w:rPr>
                <w:b/>
                <w:bCs/>
              </w:rPr>
            </w:pPr>
            <w:r>
              <w:t xml:space="preserve">(Offentliggjort den 19. juni 2025, </w:t>
            </w:r>
            <w:hyperlink r:id="rId14" w:history="1">
              <w:r w:rsidRPr="00C87D0D">
                <w:rPr>
                  <w:rStyle w:val="Hyperlink"/>
                </w:rPr>
                <w:t>link</w:t>
              </w:r>
            </w:hyperlink>
            <w:r>
              <w:t>)</w:t>
            </w:r>
          </w:p>
          <w:p w14:paraId="3E7D55CB" w14:textId="77777777" w:rsidR="003E1FAB" w:rsidRDefault="003E1FAB"/>
          <w:p w14:paraId="59D21DA4" w14:textId="77777777" w:rsidR="00041A13" w:rsidRDefault="00041A13"/>
          <w:p w14:paraId="39BEC120" w14:textId="77777777" w:rsidR="00053730" w:rsidRPr="00F44FC9" w:rsidRDefault="00053730" w:rsidP="00053730">
            <w:pPr>
              <w:jc w:val="both"/>
              <w:rPr>
                <w:b/>
                <w:bCs/>
              </w:rPr>
            </w:pPr>
            <w:r w:rsidRPr="00F44FC9">
              <w:rPr>
                <w:b/>
                <w:bCs/>
              </w:rPr>
              <w:t>God praksis for interne kontroller og screening af medarbejdere</w:t>
            </w:r>
          </w:p>
          <w:p w14:paraId="4EF77086" w14:textId="77777777" w:rsidR="00041A13" w:rsidRDefault="00041A13" w:rsidP="00053730">
            <w:pPr>
              <w:jc w:val="both"/>
            </w:pPr>
          </w:p>
          <w:p w14:paraId="6603C05D" w14:textId="6CC7FB0F" w:rsidR="00053730" w:rsidRDefault="00053730" w:rsidP="00053730">
            <w:pPr>
              <w:jc w:val="both"/>
            </w:pPr>
            <w:r>
              <w:t>Finanstilsynet beskriver i et notat en række tiltag, der er god praksis for interne kontroller og screening af medarbejdere i finansielle virksomheder.</w:t>
            </w:r>
          </w:p>
          <w:p w14:paraId="19451044" w14:textId="77777777" w:rsidR="00041A13" w:rsidRDefault="00041A13" w:rsidP="00053730">
            <w:pPr>
              <w:jc w:val="both"/>
            </w:pPr>
          </w:p>
          <w:p w14:paraId="38F7A486" w14:textId="05A4AB1C" w:rsidR="00053730" w:rsidRDefault="00053730" w:rsidP="00053730">
            <w:pPr>
              <w:jc w:val="both"/>
            </w:pPr>
            <w:r>
              <w:t xml:space="preserve">(Offentliggjort den 23. juni 2025, </w:t>
            </w:r>
            <w:hyperlink r:id="rId15" w:history="1">
              <w:r w:rsidRPr="00F44FC9">
                <w:rPr>
                  <w:rStyle w:val="Hyperlink"/>
                </w:rPr>
                <w:t>link</w:t>
              </w:r>
            </w:hyperlink>
            <w:r>
              <w:t>)</w:t>
            </w:r>
          </w:p>
          <w:p w14:paraId="0F6F825F" w14:textId="77777777" w:rsidR="00053730" w:rsidRDefault="00053730" w:rsidP="00053730">
            <w:pPr>
              <w:jc w:val="both"/>
            </w:pPr>
          </w:p>
          <w:p w14:paraId="075A997B" w14:textId="77777777" w:rsidR="00053730" w:rsidRDefault="00053730"/>
          <w:p w14:paraId="2BFE98FE" w14:textId="77777777" w:rsidR="009506FD" w:rsidRPr="009D555A" w:rsidRDefault="009506FD" w:rsidP="009506FD">
            <w:pPr>
              <w:jc w:val="both"/>
              <w:rPr>
                <w:b/>
                <w:bCs/>
              </w:rPr>
            </w:pPr>
            <w:r w:rsidRPr="009D555A">
              <w:rPr>
                <w:b/>
                <w:bCs/>
              </w:rPr>
              <w:t xml:space="preserve">Bekendtgørelse </w:t>
            </w:r>
            <w:r w:rsidRPr="00893296">
              <w:rPr>
                <w:b/>
                <w:bCs/>
              </w:rPr>
              <w:t>nr</w:t>
            </w:r>
            <w:r>
              <w:rPr>
                <w:b/>
                <w:bCs/>
              </w:rPr>
              <w:t>.</w:t>
            </w:r>
            <w:r w:rsidRPr="00893296">
              <w:rPr>
                <w:b/>
                <w:bCs/>
              </w:rPr>
              <w:t xml:space="preserve"> 913 af 26</w:t>
            </w:r>
            <w:r>
              <w:rPr>
                <w:b/>
                <w:bCs/>
              </w:rPr>
              <w:t xml:space="preserve">. juni </w:t>
            </w:r>
            <w:r w:rsidRPr="00893296">
              <w:rPr>
                <w:b/>
                <w:bCs/>
              </w:rPr>
              <w:t>2025</w:t>
            </w:r>
            <w:r>
              <w:rPr>
                <w:b/>
                <w:bCs/>
              </w:rPr>
              <w:t xml:space="preserve"> </w:t>
            </w:r>
            <w:r w:rsidRPr="009D555A">
              <w:rPr>
                <w:b/>
                <w:bCs/>
              </w:rPr>
              <w:t>om krav til nedskrivningsegnede passiver</w:t>
            </w:r>
          </w:p>
          <w:p w14:paraId="6D3E83F7" w14:textId="77777777" w:rsidR="009023FB" w:rsidRDefault="009023FB" w:rsidP="009506FD">
            <w:pPr>
              <w:jc w:val="both"/>
            </w:pPr>
          </w:p>
          <w:p w14:paraId="614000C5" w14:textId="7A8C2398" w:rsidR="009506FD" w:rsidRDefault="009506FD" w:rsidP="009506FD">
            <w:pPr>
              <w:jc w:val="both"/>
            </w:pPr>
            <w:r>
              <w:lastRenderedPageBreak/>
              <w:t>Bekendtgørelsen indeholder forskellige lovtekniske ændringer og konsekvensrettelser efter vedtagelse af ny lovgivning. Dertil kommer nogle få ændringer, som udspringer af BRRD II-direktivet, og som alene har betydning for finansielle koncerner, der er bygget op omkring et centralt organ, og som ikke findes i Danmark.</w:t>
            </w:r>
          </w:p>
          <w:p w14:paraId="1E688506" w14:textId="77777777" w:rsidR="00F22B0F" w:rsidRDefault="00F22B0F" w:rsidP="009506FD">
            <w:pPr>
              <w:jc w:val="both"/>
            </w:pPr>
          </w:p>
          <w:p w14:paraId="6F6A5DC1" w14:textId="3EDF2901" w:rsidR="009506FD" w:rsidRDefault="009506FD" w:rsidP="009506FD">
            <w:pPr>
              <w:jc w:val="both"/>
            </w:pPr>
            <w:r>
              <w:t>B</w:t>
            </w:r>
            <w:r w:rsidRPr="009935C1">
              <w:t xml:space="preserve">ekendtgørelsen </w:t>
            </w:r>
            <w:r w:rsidR="00F22B0F">
              <w:t>trådte</w:t>
            </w:r>
            <w:r w:rsidRPr="009935C1">
              <w:t xml:space="preserve"> i kraft den 1. juli 2025</w:t>
            </w:r>
            <w:r>
              <w:t xml:space="preserve"> og ophæver samtidig den tilsvarende b</w:t>
            </w:r>
            <w:r w:rsidRPr="00162651">
              <w:t>ekendtgørelse nr. 7 af 9. januar 2025</w:t>
            </w:r>
            <w:r>
              <w:t>.</w:t>
            </w:r>
          </w:p>
          <w:p w14:paraId="3C8ED85B" w14:textId="77777777" w:rsidR="00F22B0F" w:rsidRDefault="00F22B0F" w:rsidP="009506FD">
            <w:pPr>
              <w:jc w:val="both"/>
            </w:pPr>
          </w:p>
          <w:p w14:paraId="5E9BAD4C" w14:textId="2AC40209" w:rsidR="009506FD" w:rsidRDefault="009506FD" w:rsidP="009506FD">
            <w:pPr>
              <w:jc w:val="both"/>
            </w:pPr>
            <w:r>
              <w:t xml:space="preserve">(Offentliggjort den 28. juni 2025, </w:t>
            </w:r>
            <w:hyperlink r:id="rId16" w:history="1">
              <w:r w:rsidRPr="009D555A">
                <w:rPr>
                  <w:rStyle w:val="Hyperlink"/>
                </w:rPr>
                <w:t>link</w:t>
              </w:r>
            </w:hyperlink>
            <w:r>
              <w:t>)</w:t>
            </w:r>
          </w:p>
          <w:p w14:paraId="49FAC48D" w14:textId="77777777" w:rsidR="009506FD" w:rsidRDefault="009506FD"/>
          <w:p w14:paraId="11107BAA" w14:textId="77777777" w:rsidR="00F22B0F" w:rsidRDefault="00F22B0F"/>
          <w:p w14:paraId="00FEFB84" w14:textId="77777777" w:rsidR="00555AA5" w:rsidRPr="009D555A" w:rsidRDefault="00555AA5" w:rsidP="00555AA5">
            <w:pPr>
              <w:jc w:val="both"/>
              <w:rPr>
                <w:b/>
                <w:bCs/>
              </w:rPr>
            </w:pPr>
            <w:bookmarkStart w:id="6" w:name="F"/>
            <w:r w:rsidRPr="009D555A">
              <w:rPr>
                <w:b/>
                <w:bCs/>
              </w:rPr>
              <w:t xml:space="preserve">Bekendtgørelse </w:t>
            </w:r>
            <w:r w:rsidRPr="00D22363">
              <w:rPr>
                <w:b/>
                <w:bCs/>
              </w:rPr>
              <w:t>nr</w:t>
            </w:r>
            <w:r>
              <w:rPr>
                <w:b/>
                <w:bCs/>
              </w:rPr>
              <w:t xml:space="preserve">. </w:t>
            </w:r>
            <w:r w:rsidRPr="00D22363">
              <w:rPr>
                <w:b/>
                <w:bCs/>
              </w:rPr>
              <w:t>917 af 27</w:t>
            </w:r>
            <w:r>
              <w:rPr>
                <w:b/>
                <w:bCs/>
              </w:rPr>
              <w:t xml:space="preserve">. juni </w:t>
            </w:r>
            <w:r w:rsidRPr="00D22363">
              <w:rPr>
                <w:b/>
                <w:bCs/>
              </w:rPr>
              <w:t>2025</w:t>
            </w:r>
            <w:r>
              <w:rPr>
                <w:b/>
                <w:bCs/>
              </w:rPr>
              <w:t xml:space="preserve"> </w:t>
            </w:r>
            <w:r w:rsidRPr="009D555A">
              <w:rPr>
                <w:b/>
                <w:bCs/>
              </w:rPr>
              <w:t>om indberetning til og offentliggørelse af årsrapporter m.v. i Erhvervsstyrelsen for virksomheder omfattet af regnskabsregler fastsat ved eller i henhold til lovgivningen for finansielle virksomheder m.v.</w:t>
            </w:r>
          </w:p>
          <w:bookmarkEnd w:id="6"/>
          <w:p w14:paraId="76A42F83" w14:textId="77777777" w:rsidR="00F22B0F" w:rsidRDefault="00F22B0F" w:rsidP="00555AA5">
            <w:pPr>
              <w:jc w:val="both"/>
            </w:pPr>
          </w:p>
          <w:p w14:paraId="5103A63B" w14:textId="4064D09F" w:rsidR="00555AA5" w:rsidRDefault="00555AA5" w:rsidP="00555AA5">
            <w:pPr>
              <w:jc w:val="both"/>
            </w:pPr>
            <w:r>
              <w:t xml:space="preserve">Bekendtgørelsen er en </w:t>
            </w:r>
            <w:proofErr w:type="spellStart"/>
            <w:r>
              <w:t>nyudstedelse</w:t>
            </w:r>
            <w:proofErr w:type="spellEnd"/>
            <w:r>
              <w:t xml:space="preserve"> af en tilsvarende bekendtgørelse af 25. maj 2025. I forhold til den nylige bekendtgørelse er der rettet i forskellige henvisninger til bekendtgørelser, og der er fastsat nye regler om taksonomi i §§ 9 og 12.</w:t>
            </w:r>
          </w:p>
          <w:p w14:paraId="4DF7AC4F" w14:textId="77777777" w:rsidR="000462BC" w:rsidRDefault="000462BC" w:rsidP="00555AA5">
            <w:pPr>
              <w:jc w:val="both"/>
            </w:pPr>
          </w:p>
          <w:p w14:paraId="140D16E1" w14:textId="08555DAF" w:rsidR="00555AA5" w:rsidRDefault="00555AA5" w:rsidP="00555AA5">
            <w:pPr>
              <w:jc w:val="both"/>
            </w:pPr>
            <w:r>
              <w:t xml:space="preserve">(Offentliggjort den 28. juni 2025, </w:t>
            </w:r>
            <w:hyperlink r:id="rId17" w:history="1">
              <w:r w:rsidRPr="009D555A">
                <w:rPr>
                  <w:rStyle w:val="Hyperlink"/>
                </w:rPr>
                <w:t>link</w:t>
              </w:r>
            </w:hyperlink>
            <w:r>
              <w:t>)</w:t>
            </w:r>
          </w:p>
          <w:p w14:paraId="65BE6C8E" w14:textId="77777777" w:rsidR="00555AA5" w:rsidRDefault="00555AA5"/>
          <w:p w14:paraId="2BE89B52" w14:textId="77777777" w:rsidR="00615F30" w:rsidRDefault="00615F30"/>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lastRenderedPageBreak/>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481ADC24" w14:textId="77777777" w:rsidR="00CA358D" w:rsidRDefault="00CA358D"/>
          <w:p w14:paraId="1441CC58" w14:textId="13328CB6" w:rsidR="000462BC" w:rsidRDefault="000462BC">
            <w:r>
              <w:t>(Intet nyt)</w:t>
            </w:r>
          </w:p>
          <w:p w14:paraId="010E559B" w14:textId="77777777" w:rsidR="00CA358D" w:rsidRDefault="00CA358D"/>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68A7D312" w14:textId="77777777" w:rsidR="00BE4C01" w:rsidRDefault="00BE4C01"/>
          <w:p w14:paraId="15CA17B3" w14:textId="77777777" w:rsidR="00615F30" w:rsidRDefault="00615F30"/>
          <w:p w14:paraId="7C5240E9" w14:textId="77777777" w:rsidR="00EC166B" w:rsidRPr="00787598" w:rsidRDefault="00EC166B" w:rsidP="00EC166B">
            <w:pPr>
              <w:jc w:val="both"/>
              <w:rPr>
                <w:b/>
                <w:bCs/>
              </w:rPr>
            </w:pPr>
            <w:bookmarkStart w:id="7" w:name="G"/>
            <w:r w:rsidRPr="00787598">
              <w:rPr>
                <w:b/>
                <w:bCs/>
              </w:rPr>
              <w:t>Kommissionen ajourfører listen over højrisikolande for at styrke den internationale bekæmpelse af økonomisk kriminalitet</w:t>
            </w:r>
          </w:p>
          <w:bookmarkEnd w:id="7"/>
          <w:p w14:paraId="46BCFBE2" w14:textId="77777777" w:rsidR="000462BC" w:rsidRDefault="000462BC" w:rsidP="00EC166B">
            <w:pPr>
              <w:jc w:val="both"/>
            </w:pPr>
          </w:p>
          <w:p w14:paraId="7A9118DC" w14:textId="40383102" w:rsidR="00EC166B" w:rsidRDefault="00EC166B" w:rsidP="00EC166B">
            <w:pPr>
              <w:jc w:val="both"/>
            </w:pPr>
            <w:r w:rsidRPr="00C24DF1">
              <w:t>Algeriet, Angola, Elfenbenskysten, Kenya, Laos, Libanon, Monaco, Namibia, Nepal og Venezuela</w:t>
            </w:r>
            <w:r>
              <w:t xml:space="preserve"> er blevet føjet til listen</w:t>
            </w:r>
            <w:r w:rsidRPr="00C24DF1">
              <w:t>, mens Barbados, Gibraltar, Jamaica, Panama, Filippinerne, Senegal, Uganda og De Forenede Arabiske Emirater</w:t>
            </w:r>
            <w:r>
              <w:t xml:space="preserve"> er</w:t>
            </w:r>
            <w:r w:rsidRPr="00C24DF1">
              <w:t xml:space="preserve"> fjernet fra listen.</w:t>
            </w:r>
          </w:p>
          <w:p w14:paraId="3EB8C096" w14:textId="77777777" w:rsidR="000462BC" w:rsidRDefault="000462BC" w:rsidP="00EC166B">
            <w:pPr>
              <w:jc w:val="both"/>
            </w:pPr>
          </w:p>
          <w:p w14:paraId="2B73B79E" w14:textId="5B17E4FE" w:rsidR="00EC166B" w:rsidRDefault="00EC166B" w:rsidP="00EC166B">
            <w:pPr>
              <w:jc w:val="both"/>
            </w:pPr>
            <w:r>
              <w:t xml:space="preserve">(Offentliggjort den 10. juni 2025, </w:t>
            </w:r>
            <w:hyperlink r:id="rId18" w:history="1">
              <w:r w:rsidRPr="00787598">
                <w:rPr>
                  <w:rStyle w:val="Hyperlink"/>
                </w:rPr>
                <w:t>link</w:t>
              </w:r>
            </w:hyperlink>
            <w:r>
              <w:t>)</w:t>
            </w:r>
          </w:p>
          <w:p w14:paraId="43A3C1E5" w14:textId="77777777" w:rsidR="00EC166B" w:rsidRDefault="00EC166B"/>
          <w:p w14:paraId="18F3E10A" w14:textId="77777777" w:rsidR="000462BC" w:rsidRDefault="000462BC"/>
          <w:p w14:paraId="22C64778" w14:textId="77777777" w:rsidR="00E64EAF" w:rsidRDefault="00E64EAF" w:rsidP="00E64EAF">
            <w:pPr>
              <w:jc w:val="both"/>
            </w:pPr>
            <w:bookmarkStart w:id="8" w:name="H"/>
            <w:r w:rsidRPr="00F93500">
              <w:rPr>
                <w:b/>
                <w:bCs/>
              </w:rPr>
              <w:t>Kommissionens delegerede forordning (EU) 2025/1190 af 13. februar 2025 om supplerende regler til Europa-Parlamentets og Rådets forordning (EU) 2022/2554 for så vidt angår reguleringsmæssige tekniske standarder, der præciserer de kriterier, der anvendes til at identificere finansielle enheder, som skal gennemføre trusselsbaserede penetrationstest, kravene til og standarderne for anvendelsen af interne testere, kravene vedrørende testomfang, -metode og -tilgang for hver testfase samt resultater, afslutnings- og udbedringsfaser og den type tilsyn og andet relevant samarbejde, der er nødvendigt for gennemførelsen af TLPT og for at lette den gensidige anerkendelse</w:t>
            </w:r>
          </w:p>
          <w:bookmarkEnd w:id="8"/>
          <w:p w14:paraId="3ED4F1D8" w14:textId="77777777" w:rsidR="00F54501" w:rsidRDefault="00F54501" w:rsidP="00E64EAF">
            <w:pPr>
              <w:jc w:val="both"/>
            </w:pPr>
          </w:p>
          <w:p w14:paraId="2BB088E8" w14:textId="060311F7" w:rsidR="00E64EAF" w:rsidRPr="00B01EF6" w:rsidRDefault="00E64EAF" w:rsidP="00E64EAF">
            <w:pPr>
              <w:jc w:val="both"/>
            </w:pPr>
            <w:r>
              <w:lastRenderedPageBreak/>
              <w:t xml:space="preserve">Denne </w:t>
            </w:r>
            <w:r w:rsidRPr="00B01EF6">
              <w:t xml:space="preserve">RTS </w:t>
            </w:r>
            <w:r>
              <w:t xml:space="preserve">indeholder specifikationer </w:t>
            </w:r>
            <w:r w:rsidRPr="00B01EF6">
              <w:t>vedrørende trusselsstyrede penetrationstest</w:t>
            </w:r>
            <w:r>
              <w:t>s</w:t>
            </w:r>
            <w:r w:rsidRPr="00B01EF6">
              <w:t xml:space="preserve"> i henhold til DORA</w:t>
            </w:r>
            <w:r>
              <w:t xml:space="preserve"> </w:t>
            </w:r>
            <w:r w:rsidRPr="00B01EF6">
              <w:t>artikel 26, stk. 11</w:t>
            </w:r>
            <w:r>
              <w:t>. Forordningen træder i kraft den 8. juli 2025.</w:t>
            </w:r>
          </w:p>
          <w:p w14:paraId="6ED0350F" w14:textId="77777777" w:rsidR="00C925EC" w:rsidRDefault="00C925EC" w:rsidP="00E64EAF">
            <w:pPr>
              <w:jc w:val="both"/>
            </w:pPr>
          </w:p>
          <w:p w14:paraId="2E80FC9B" w14:textId="19B5CEEE" w:rsidR="00E64EAF" w:rsidRDefault="00E64EAF" w:rsidP="00E64EAF">
            <w:pPr>
              <w:jc w:val="both"/>
            </w:pPr>
            <w:r>
              <w:t xml:space="preserve">(Offentliggjort den 18. juni 2025, </w:t>
            </w:r>
            <w:hyperlink r:id="rId19" w:history="1">
              <w:r w:rsidRPr="00612B84">
                <w:rPr>
                  <w:rStyle w:val="Hyperlink"/>
                </w:rPr>
                <w:t>link</w:t>
              </w:r>
            </w:hyperlink>
            <w:r>
              <w:t>)</w:t>
            </w:r>
          </w:p>
          <w:p w14:paraId="685790C1" w14:textId="77777777" w:rsidR="00EC166B" w:rsidRDefault="00EC166B"/>
          <w:p w14:paraId="570C0B58" w14:textId="77777777" w:rsidR="00712591" w:rsidRDefault="00712591"/>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lastRenderedPageBreak/>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73D5B8BE" w14:textId="77777777" w:rsidR="00BE4C01" w:rsidRDefault="00BE4C01"/>
          <w:p w14:paraId="24E74E10" w14:textId="585FA3EB" w:rsidR="00C925EC" w:rsidRDefault="00C925EC">
            <w:r>
              <w:t>(Intet nyt)</w:t>
            </w:r>
          </w:p>
          <w:p w14:paraId="5E1E2D1B" w14:textId="77777777" w:rsidR="00C925EC" w:rsidRDefault="00C925EC"/>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05979F89" w14:textId="77777777" w:rsidR="00BE4C01" w:rsidRDefault="00BE4C01"/>
          <w:p w14:paraId="2FA18D8D" w14:textId="77777777" w:rsidR="00C925EC" w:rsidRDefault="00C925EC" w:rsidP="00C925EC">
            <w:r>
              <w:t>(Intet nyt)</w:t>
            </w:r>
          </w:p>
          <w:p w14:paraId="29E632A3" w14:textId="77777777" w:rsidR="00C925EC" w:rsidRDefault="00C925EC"/>
        </w:tc>
      </w:tr>
    </w:tbl>
    <w:p w14:paraId="329D25E6" w14:textId="77777777" w:rsidR="00BE4C01" w:rsidRDefault="00BE4C01"/>
    <w:p w14:paraId="6BBF4DE2" w14:textId="77777777" w:rsidR="00BE4C01" w:rsidRPr="00BE4C01" w:rsidRDefault="00BE4C01" w:rsidP="00BE4C01"/>
    <w:p w14:paraId="251BD954" w14:textId="54A22563" w:rsidR="00BE4C01" w:rsidRPr="00BE4C01" w:rsidRDefault="00BE4C01" w:rsidP="00BE4C01">
      <w:pPr>
        <w:rPr>
          <w:i/>
          <w:iCs/>
        </w:rPr>
      </w:pPr>
      <w:r w:rsidRPr="00BE4C01">
        <w:rPr>
          <w:i/>
          <w:iCs/>
        </w:rPr>
        <w:t xml:space="preserve">Denne oversigt over ny finansiel regulering er udvalgt af </w:t>
      </w:r>
      <w:r w:rsidR="001928E1">
        <w:rPr>
          <w:i/>
          <w:iCs/>
        </w:rPr>
        <w:t>Equity Law Advokatanpartsselskab</w:t>
      </w:r>
      <w:r w:rsidRPr="00BE4C01">
        <w:rPr>
          <w:i/>
          <w:iCs/>
        </w:rPr>
        <w:t xml:space="preserve"> ud fra regulering, der retter sig direkte til fondsmæglerselskaber og deres </w:t>
      </w:r>
      <w:proofErr w:type="spellStart"/>
      <w:r w:rsidRPr="00BE4C01">
        <w:rPr>
          <w:i/>
          <w:iCs/>
        </w:rPr>
        <w:t>holdingvirksomheder</w:t>
      </w:r>
      <w:proofErr w:type="spellEnd"/>
      <w:r w:rsidRPr="00BE4C01">
        <w:rPr>
          <w:i/>
          <w:iCs/>
        </w:rPr>
        <w:t xml:space="preserve">. Oversigten er en informationstjeneste og udgør ikke juridisk rådgivning, og </w:t>
      </w:r>
      <w:r w:rsidR="000A03EB">
        <w:rPr>
          <w:i/>
          <w:iCs/>
        </w:rPr>
        <w:t>Equity Law Advokatanpartsselskab</w:t>
      </w:r>
      <w:r w:rsidRPr="00BE4C01">
        <w:rPr>
          <w:i/>
          <w:iCs/>
        </w:rPr>
        <w:t xml:space="preserve">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228586F2" w:rsidR="00BE4C01" w:rsidRPr="00BE4C01" w:rsidRDefault="00BE4C01" w:rsidP="00BE4C01">
      <w:pPr>
        <w:rPr>
          <w:i/>
          <w:iCs/>
        </w:rPr>
      </w:pPr>
      <w:r w:rsidRPr="00BE4C01">
        <w:rPr>
          <w:i/>
          <w:iCs/>
        </w:rPr>
        <w:t xml:space="preserve">Oversigten er redigeret af advokat Camilla Søborg, </w:t>
      </w:r>
      <w:hyperlink r:id="rId21" w:history="1">
        <w:r w:rsidR="000A03EB" w:rsidRPr="00401311">
          <w:rPr>
            <w:rStyle w:val="Hyperlink"/>
            <w:i/>
            <w:iCs/>
          </w:rPr>
          <w:t>cas@equitylaw.dk</w:t>
        </w:r>
      </w:hyperlink>
      <w:r w:rsidRPr="00BE4C01">
        <w:rPr>
          <w:i/>
          <w:iCs/>
        </w:rPr>
        <w:t xml:space="preserve">, tlf. 53500914, som du kan </w:t>
      </w:r>
      <w:proofErr w:type="gramStart"/>
      <w:r w:rsidRPr="00BE4C01">
        <w:rPr>
          <w:i/>
          <w:iCs/>
        </w:rPr>
        <w:t>rette henvendelse</w:t>
      </w:r>
      <w:proofErr w:type="gramEnd"/>
      <w:r w:rsidRPr="00BE4C01">
        <w:rPr>
          <w:i/>
          <w:iCs/>
        </w:rPr>
        <w:t xml:space="preserve"> til, hvis du har kommentarer eller spørgsmål. </w:t>
      </w:r>
    </w:p>
    <w:p w14:paraId="514A19E8" w14:textId="77777777" w:rsidR="00BE4C01" w:rsidRPr="00BE4C01" w:rsidRDefault="00BE4C01" w:rsidP="00BE4C01">
      <w:pPr>
        <w:rPr>
          <w:i/>
          <w:iCs/>
        </w:rPr>
      </w:pPr>
    </w:p>
    <w:p w14:paraId="22D0A962" w14:textId="09AEDB04" w:rsidR="00BE4C01" w:rsidRPr="00BE4C01" w:rsidRDefault="006C57C3" w:rsidP="00BE4C01">
      <w:r>
        <w:rPr>
          <w:noProof/>
        </w:rPr>
        <w:drawing>
          <wp:inline distT="0" distB="0" distL="0" distR="0" wp14:anchorId="03371999" wp14:editId="5DB5042A">
            <wp:extent cx="1495425" cy="295275"/>
            <wp:effectExtent l="0" t="0" r="9525" b="9525"/>
            <wp:docPr id="994185766" name="Billede 1" descr="Et billede, der indeholder Font/skrifttype, Grafik, logo,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85766" name="Billede 1" descr="Et billede, der indeholder Font/skrifttype, Grafik, logo, tekst&#10;&#10;Automatisk genereret beskrivelse"/>
                    <pic:cNvPicPr>
                      <a:picLocks noChangeAspect="1" noChangeArrowheads="1"/>
                    </pic:cNvPicPr>
                  </pic:nvPicPr>
                  <pic:blipFill rotWithShape="1">
                    <a:blip r:embed="rId22">
                      <a:extLst>
                        <a:ext uri="{28A0092B-C50C-407E-A947-70E740481C1C}">
                          <a14:useLocalDpi xmlns:a14="http://schemas.microsoft.com/office/drawing/2010/main" val="0"/>
                        </a:ext>
                      </a:extLst>
                    </a:blip>
                    <a:srcRect l="9076" t="-2857" r="11765" b="14287"/>
                    <a:stretch/>
                  </pic:blipFill>
                  <pic:spPr bwMode="auto">
                    <a:xfrm>
                      <a:off x="0" y="0"/>
                      <a:ext cx="1495425"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39FECEBF" w14:textId="64DC358D" w:rsidR="00BE4C01" w:rsidRPr="00BE4C01" w:rsidRDefault="00A356F8" w:rsidP="00BE4C01">
      <w:r>
        <w:t>Equity Law Advokatanpartsselskab</w:t>
      </w:r>
      <w:r w:rsidR="00BE4C01" w:rsidRPr="00BE4C01">
        <w:t>,</w:t>
      </w:r>
      <w:r w:rsidR="00BE4C01" w:rsidRPr="00BE4C01">
        <w:rPr>
          <w:b/>
          <w:bCs/>
        </w:rPr>
        <w:t xml:space="preserve"> </w:t>
      </w:r>
      <w:r w:rsidR="00BE4C01" w:rsidRPr="00BE4C01">
        <w:t xml:space="preserve">CVR-nr. </w:t>
      </w:r>
      <w:r w:rsidR="000D0984" w:rsidRPr="000D0984">
        <w:t>42512273</w:t>
      </w:r>
      <w:r w:rsidR="00BE4C01" w:rsidRPr="00BE4C01">
        <w:t xml:space="preserve">, </w:t>
      </w:r>
      <w:r w:rsidR="000D0984">
        <w:t>Strandvejen 60</w:t>
      </w:r>
      <w:r w:rsidR="00BE4C01" w:rsidRPr="00BE4C01">
        <w:t>,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D6669"/>
    <w:multiLevelType w:val="hybridMultilevel"/>
    <w:tmpl w:val="3ADA2184"/>
    <w:lvl w:ilvl="0" w:tplc="8086FA9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473105"/>
    <w:multiLevelType w:val="hybridMultilevel"/>
    <w:tmpl w:val="D95C2028"/>
    <w:lvl w:ilvl="0" w:tplc="10E6927A">
      <w:start w:val="1"/>
      <w:numFmt w:val="lowerRoman"/>
      <w:lvlText w:val="(%1)"/>
      <w:lvlJc w:val="left"/>
      <w:pPr>
        <w:ind w:left="1080" w:hanging="72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0A64C9"/>
    <w:multiLevelType w:val="hybridMultilevel"/>
    <w:tmpl w:val="B2D89F7A"/>
    <w:lvl w:ilvl="0" w:tplc="B4E8B56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636382">
    <w:abstractNumId w:val="1"/>
  </w:num>
  <w:num w:numId="2" w16cid:durableId="351304715">
    <w:abstractNumId w:val="2"/>
  </w:num>
  <w:num w:numId="3" w16cid:durableId="1682930397">
    <w:abstractNumId w:val="0"/>
  </w:num>
  <w:num w:numId="4" w16cid:durableId="69403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356E7"/>
    <w:rsid w:val="00041A13"/>
    <w:rsid w:val="000446A9"/>
    <w:rsid w:val="000462BC"/>
    <w:rsid w:val="00053730"/>
    <w:rsid w:val="000A03EB"/>
    <w:rsid w:val="000D0984"/>
    <w:rsid w:val="001163B2"/>
    <w:rsid w:val="001175D0"/>
    <w:rsid w:val="00120BDC"/>
    <w:rsid w:val="00136D9B"/>
    <w:rsid w:val="0014384E"/>
    <w:rsid w:val="0014524E"/>
    <w:rsid w:val="0018387D"/>
    <w:rsid w:val="001928E1"/>
    <w:rsid w:val="001A265C"/>
    <w:rsid w:val="001A5669"/>
    <w:rsid w:val="001D1CFA"/>
    <w:rsid w:val="001D2801"/>
    <w:rsid w:val="00255DB7"/>
    <w:rsid w:val="00265438"/>
    <w:rsid w:val="0026701C"/>
    <w:rsid w:val="002A4755"/>
    <w:rsid w:val="002B6B87"/>
    <w:rsid w:val="002F5396"/>
    <w:rsid w:val="003141E4"/>
    <w:rsid w:val="00344CB3"/>
    <w:rsid w:val="00355912"/>
    <w:rsid w:val="00381704"/>
    <w:rsid w:val="00394067"/>
    <w:rsid w:val="003B7D51"/>
    <w:rsid w:val="003E1FAB"/>
    <w:rsid w:val="004044A5"/>
    <w:rsid w:val="0040630A"/>
    <w:rsid w:val="00427ED3"/>
    <w:rsid w:val="0045749D"/>
    <w:rsid w:val="004D0F3F"/>
    <w:rsid w:val="004D740B"/>
    <w:rsid w:val="00533C93"/>
    <w:rsid w:val="00555AA5"/>
    <w:rsid w:val="00570EEF"/>
    <w:rsid w:val="00573F45"/>
    <w:rsid w:val="005817FC"/>
    <w:rsid w:val="005945AC"/>
    <w:rsid w:val="005C2158"/>
    <w:rsid w:val="005D174E"/>
    <w:rsid w:val="00615F30"/>
    <w:rsid w:val="0062647A"/>
    <w:rsid w:val="00660F68"/>
    <w:rsid w:val="006C0074"/>
    <w:rsid w:val="006C57C3"/>
    <w:rsid w:val="006F1CCF"/>
    <w:rsid w:val="007018A5"/>
    <w:rsid w:val="00712591"/>
    <w:rsid w:val="00720A6D"/>
    <w:rsid w:val="00734E10"/>
    <w:rsid w:val="007E46BF"/>
    <w:rsid w:val="008312DE"/>
    <w:rsid w:val="00874437"/>
    <w:rsid w:val="008901B6"/>
    <w:rsid w:val="008A1EFD"/>
    <w:rsid w:val="008F5FD1"/>
    <w:rsid w:val="009023FB"/>
    <w:rsid w:val="00913F01"/>
    <w:rsid w:val="00944D29"/>
    <w:rsid w:val="00946439"/>
    <w:rsid w:val="009506FD"/>
    <w:rsid w:val="009554E1"/>
    <w:rsid w:val="00990D0A"/>
    <w:rsid w:val="009911B9"/>
    <w:rsid w:val="00A03570"/>
    <w:rsid w:val="00A356F8"/>
    <w:rsid w:val="00A92EEA"/>
    <w:rsid w:val="00A97075"/>
    <w:rsid w:val="00B02E43"/>
    <w:rsid w:val="00B14ED6"/>
    <w:rsid w:val="00B8457C"/>
    <w:rsid w:val="00BA5D03"/>
    <w:rsid w:val="00BC1F31"/>
    <w:rsid w:val="00BE4C01"/>
    <w:rsid w:val="00BF2481"/>
    <w:rsid w:val="00C21A39"/>
    <w:rsid w:val="00C925EC"/>
    <w:rsid w:val="00CA358D"/>
    <w:rsid w:val="00CD2E85"/>
    <w:rsid w:val="00CE5C65"/>
    <w:rsid w:val="00CF0CC8"/>
    <w:rsid w:val="00CF3A1A"/>
    <w:rsid w:val="00D001F8"/>
    <w:rsid w:val="00DD48DD"/>
    <w:rsid w:val="00E05626"/>
    <w:rsid w:val="00E14E4C"/>
    <w:rsid w:val="00E34FFA"/>
    <w:rsid w:val="00E37324"/>
    <w:rsid w:val="00E64EAF"/>
    <w:rsid w:val="00E8086D"/>
    <w:rsid w:val="00E92FBA"/>
    <w:rsid w:val="00E94D61"/>
    <w:rsid w:val="00EB1CC9"/>
    <w:rsid w:val="00EC166B"/>
    <w:rsid w:val="00ED21A3"/>
    <w:rsid w:val="00ED7CBA"/>
    <w:rsid w:val="00F10BC1"/>
    <w:rsid w:val="00F22B0F"/>
    <w:rsid w:val="00F4156E"/>
    <w:rsid w:val="00F51C6E"/>
    <w:rsid w:val="00F54501"/>
    <w:rsid w:val="00FB6D31"/>
    <w:rsid w:val="00FC35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1175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5/723" TargetMode="External"/><Relationship Id="rId13" Type="http://schemas.openxmlformats.org/officeDocument/2006/relationships/hyperlink" Target="https://www.finanstilsynet.dk/nyheder-og-presse/nyheder-og-pressemeddelelser/2025/jun/vaerdipapirhandlere-skal-sikre-opbevaring-af-deres-dokumentation" TargetMode="External"/><Relationship Id="rId18" Type="http://schemas.openxmlformats.org/officeDocument/2006/relationships/hyperlink" Target="https://ec.europa.eu/commission/presscorner/detail/da/ip_25_1378" TargetMode="External"/><Relationship Id="rId3" Type="http://schemas.openxmlformats.org/officeDocument/2006/relationships/customXml" Target="../customXml/item3.xml"/><Relationship Id="rId21" Type="http://schemas.openxmlformats.org/officeDocument/2006/relationships/hyperlink" Target="mailto:cas@equitylaw.dk" TargetMode="External"/><Relationship Id="rId7" Type="http://schemas.openxmlformats.org/officeDocument/2006/relationships/webSettings" Target="webSettings.xml"/><Relationship Id="rId12" Type="http://schemas.openxmlformats.org/officeDocument/2006/relationships/hyperlink" Target="https://www.retsinformation.dk/eli/lta/2025/658" TargetMode="External"/><Relationship Id="rId17" Type="http://schemas.openxmlformats.org/officeDocument/2006/relationships/hyperlink" Target="https://www.retsinformation.dk/eli/lta/2025/917" TargetMode="External"/><Relationship Id="rId2" Type="http://schemas.openxmlformats.org/officeDocument/2006/relationships/customXml" Target="../customXml/item2.xml"/><Relationship Id="rId16" Type="http://schemas.openxmlformats.org/officeDocument/2006/relationships/hyperlink" Target="https://www.retsinformation.dk/eli/lta/2025/913"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5/71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inanstilsynet.dk/nyheder-og-presse/nyheder-og-pressemeddelelser/2025/jun/god-praksis-for-interne-kontroller-og-screening-af-medarbejdere" TargetMode="External"/><Relationship Id="rId23" Type="http://schemas.openxmlformats.org/officeDocument/2006/relationships/fontTable" Target="fontTable.xml"/><Relationship Id="rId10" Type="http://schemas.openxmlformats.org/officeDocument/2006/relationships/hyperlink" Target="https://www.retsinformation.dk/eli/lta/2025/652" TargetMode="External"/><Relationship Id="rId19" Type="http://schemas.openxmlformats.org/officeDocument/2006/relationships/hyperlink" Target="https://eur-lex.europa.eu/legal-content/DA/TXT/?uri=CELEX%3A32025R1190&amp;qid=1750414774759" TargetMode="External"/><Relationship Id="rId4" Type="http://schemas.openxmlformats.org/officeDocument/2006/relationships/numbering" Target="numbering.xml"/><Relationship Id="rId9" Type="http://schemas.openxmlformats.org/officeDocument/2006/relationships/hyperlink" Target="https://www.retsinformation.dk/eli/lta/2025/712" TargetMode="External"/><Relationship Id="rId14" Type="http://schemas.openxmlformats.org/officeDocument/2006/relationships/hyperlink" Target="https://www.finanstilsynet.dk/nyheder-og-presse/nyheder-og-pressemeddelelser/2025/jun/baeredygtighed_egnethedstest_produktstyring" TargetMode="External"/><Relationship Id="rId2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2.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3.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1520</Words>
  <Characters>9278</Characters>
  <Application>Microsoft Office Word</Application>
  <DocSecurity>0</DocSecurity>
  <Lines>77</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79</cp:revision>
  <cp:lastPrinted>2025-07-02T11:12:00Z</cp:lastPrinted>
  <dcterms:created xsi:type="dcterms:W3CDTF">2025-07-02T09:16:00Z</dcterms:created>
  <dcterms:modified xsi:type="dcterms:W3CDTF">2025-07-02T11:40:00Z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