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30835" w14:textId="77777777" w:rsidR="00BE4C01" w:rsidRPr="008A1C76" w:rsidRDefault="00BE4C01" w:rsidP="00BE4C01">
      <w:pPr>
        <w:jc w:val="both"/>
        <w:rPr>
          <w:sz w:val="28"/>
          <w:szCs w:val="28"/>
        </w:rPr>
      </w:pPr>
      <w:r>
        <w:rPr>
          <w:sz w:val="28"/>
          <w:szCs w:val="28"/>
        </w:rPr>
        <w:t>N</w:t>
      </w:r>
      <w:r w:rsidRPr="008A1C76">
        <w:rPr>
          <w:sz w:val="28"/>
          <w:szCs w:val="28"/>
        </w:rPr>
        <w:t>y finansiel regulering</w:t>
      </w:r>
      <w:r>
        <w:rPr>
          <w:sz w:val="28"/>
          <w:szCs w:val="28"/>
        </w:rPr>
        <w:t xml:space="preserve"> for fondsmæglerselskaber</w:t>
      </w:r>
      <w:r w:rsidRPr="008A1C76">
        <w:rPr>
          <w:sz w:val="28"/>
          <w:szCs w:val="28"/>
        </w:rPr>
        <w:t xml:space="preserve"> </w:t>
      </w:r>
    </w:p>
    <w:p w14:paraId="300EB7E4" w14:textId="67BC28E7" w:rsidR="00BE4C01" w:rsidRDefault="00BE4C01" w:rsidP="00BE4C01">
      <w:pPr>
        <w:jc w:val="both"/>
      </w:pPr>
      <w:r>
        <w:t>O</w:t>
      </w:r>
      <w:r w:rsidRPr="005A5267">
        <w:t xml:space="preserve">pdatering for </w:t>
      </w:r>
      <w:r w:rsidR="004E30AE">
        <w:t>juli</w:t>
      </w:r>
      <w:r w:rsidRPr="005A5267">
        <w:t xml:space="preserve"> </w:t>
      </w:r>
      <w:r>
        <w:t xml:space="preserve">måned </w:t>
      </w:r>
      <w:r w:rsidRPr="005A5267">
        <w:t>202</w:t>
      </w:r>
      <w:r w:rsidR="004044A5">
        <w:t>5</w:t>
      </w:r>
    </w:p>
    <w:p w14:paraId="4FC69AF0" w14:textId="77777777" w:rsidR="00DD48DD" w:rsidRDefault="00DD48DD"/>
    <w:tbl>
      <w:tblPr>
        <w:tblStyle w:val="Tabel-Gitter"/>
        <w:tblW w:w="0" w:type="auto"/>
        <w:tblLook w:val="04A0" w:firstRow="1" w:lastRow="0" w:firstColumn="1" w:lastColumn="0" w:noHBand="0" w:noVBand="1"/>
      </w:tblPr>
      <w:tblGrid>
        <w:gridCol w:w="9628"/>
      </w:tblGrid>
      <w:tr w:rsidR="00BE4C01" w14:paraId="00166C89" w14:textId="77777777" w:rsidTr="0045749D">
        <w:tc>
          <w:tcPr>
            <w:tcW w:w="9628" w:type="dxa"/>
            <w:shd w:val="clear" w:color="auto" w:fill="D9D9D9" w:themeFill="background1" w:themeFillShade="D9"/>
          </w:tcPr>
          <w:p w14:paraId="6AB36AD5" w14:textId="79E26B0B" w:rsidR="00BE4C01" w:rsidRPr="005945AC" w:rsidRDefault="005945AC">
            <w:pPr>
              <w:rPr>
                <w:b/>
                <w:bCs/>
              </w:rPr>
            </w:pPr>
            <w:r w:rsidRPr="005945AC">
              <w:rPr>
                <w:b/>
                <w:bCs/>
              </w:rPr>
              <w:t>OVERBLIK</w:t>
            </w:r>
          </w:p>
        </w:tc>
      </w:tr>
      <w:tr w:rsidR="00BE4C01" w14:paraId="19A8CD66" w14:textId="77777777" w:rsidTr="00BE4C01">
        <w:tc>
          <w:tcPr>
            <w:tcW w:w="9628" w:type="dxa"/>
          </w:tcPr>
          <w:p w14:paraId="2EF3E491" w14:textId="77777777" w:rsidR="00BE4C01" w:rsidRDefault="00BE4C01"/>
          <w:p w14:paraId="20B40A8D" w14:textId="274931A6" w:rsidR="00D93512" w:rsidRDefault="00455BC3">
            <w:r>
              <w:t xml:space="preserve">Ændringer i adgang til oplysninger om reelle ejere: </w:t>
            </w:r>
            <w:hyperlink w:anchor="A" w:history="1">
              <w:r w:rsidR="007454AE" w:rsidRPr="007454AE">
                <w:rPr>
                  <w:rStyle w:val="Hyperlink"/>
                </w:rPr>
                <w:t>link</w:t>
              </w:r>
            </w:hyperlink>
            <w:r w:rsidR="007454AE">
              <w:t xml:space="preserve"> </w:t>
            </w:r>
            <w:r w:rsidR="007C1D17">
              <w:t xml:space="preserve">og </w:t>
            </w:r>
            <w:hyperlink w:anchor="B" w:history="1">
              <w:r w:rsidR="007454AE" w:rsidRPr="007454AE">
                <w:rPr>
                  <w:rStyle w:val="Hyperlink"/>
                </w:rPr>
                <w:t>link</w:t>
              </w:r>
            </w:hyperlink>
          </w:p>
          <w:p w14:paraId="70140AF1" w14:textId="77777777" w:rsidR="007C1D17" w:rsidRDefault="007C1D17"/>
          <w:p w14:paraId="0311D30B" w14:textId="076DF358" w:rsidR="007C1D17" w:rsidRDefault="00CA7F9D">
            <w:r>
              <w:t>Finanstilsynet offentliggør t</w:t>
            </w:r>
            <w:r w:rsidR="008C7D7A">
              <w:t>e</w:t>
            </w:r>
            <w:r w:rsidR="002E3DE6">
              <w:t>ma</w:t>
            </w:r>
            <w:r w:rsidR="008C7D7A">
              <w:t xml:space="preserve">rapport om klassificering af bæredygtighed: </w:t>
            </w:r>
            <w:hyperlink w:anchor="C" w:history="1">
              <w:r w:rsidR="007454AE" w:rsidRPr="007454AE">
                <w:rPr>
                  <w:rStyle w:val="Hyperlink"/>
                </w:rPr>
                <w:t>link</w:t>
              </w:r>
            </w:hyperlink>
          </w:p>
          <w:p w14:paraId="0D65248E" w14:textId="77777777" w:rsidR="00D04028" w:rsidRDefault="00D04028"/>
          <w:p w14:paraId="104A2C19" w14:textId="13D9A4D8" w:rsidR="00D04028" w:rsidRDefault="00D04028">
            <w:r>
              <w:t>Ny</w:t>
            </w:r>
            <w:r w:rsidR="00300BB2">
              <w:t>e niveau 2-regler om outsourcing</w:t>
            </w:r>
            <w:r w:rsidR="00CA7F9D">
              <w:t xml:space="preserve"> </w:t>
            </w:r>
            <w:r w:rsidR="00CA7F9D">
              <w:t>under DORA</w:t>
            </w:r>
            <w:r w:rsidR="00300BB2">
              <w:t xml:space="preserve">: </w:t>
            </w:r>
            <w:hyperlink w:anchor="D" w:history="1">
              <w:r w:rsidR="007454AE" w:rsidRPr="007454AE">
                <w:rPr>
                  <w:rStyle w:val="Hyperlink"/>
                </w:rPr>
                <w:t>link</w:t>
              </w:r>
            </w:hyperlink>
          </w:p>
          <w:p w14:paraId="1303B5DA" w14:textId="77777777" w:rsidR="008E238F" w:rsidRDefault="008E238F"/>
          <w:p w14:paraId="76053913" w14:textId="36D5CF03" w:rsidR="0014126F" w:rsidRDefault="0014126F">
            <w:r>
              <w:t>Kommissionen fastsætter uddybende regler om</w:t>
            </w:r>
            <w:r w:rsidR="00EF6DBB">
              <w:t xml:space="preserve"> det fælles europæiske adgangspunkt</w:t>
            </w:r>
            <w:r>
              <w:t xml:space="preserve"> </w:t>
            </w:r>
            <w:r w:rsidR="00EF6DBB">
              <w:t>(ESAP):</w:t>
            </w:r>
            <w:r w:rsidR="00AF5927">
              <w:t xml:space="preserve"> </w:t>
            </w:r>
            <w:hyperlink w:anchor="D1" w:history="1">
              <w:r w:rsidR="00AF5927" w:rsidRPr="00AF5927">
                <w:rPr>
                  <w:rStyle w:val="Hyperlink"/>
                </w:rPr>
                <w:t>link</w:t>
              </w:r>
            </w:hyperlink>
            <w:r w:rsidR="00AF5927">
              <w:t xml:space="preserve"> og </w:t>
            </w:r>
            <w:hyperlink w:anchor="D2" w:history="1">
              <w:r w:rsidR="00AF5927" w:rsidRPr="00AF5927">
                <w:rPr>
                  <w:rStyle w:val="Hyperlink"/>
                </w:rPr>
                <w:t>link</w:t>
              </w:r>
            </w:hyperlink>
          </w:p>
          <w:p w14:paraId="573747F8" w14:textId="77777777" w:rsidR="0014126F" w:rsidRDefault="0014126F"/>
          <w:p w14:paraId="6C9E5577" w14:textId="551BEE8C" w:rsidR="008E238F" w:rsidRDefault="008E238F">
            <w:r>
              <w:t xml:space="preserve">Kommissionen opdaterer </w:t>
            </w:r>
            <w:r w:rsidR="00321028">
              <w:t xml:space="preserve">listen over </w:t>
            </w:r>
            <w:r>
              <w:t>højrisikotredjelande i forhold til AML/CTF</w:t>
            </w:r>
            <w:r w:rsidR="00A4296C">
              <w:t>:</w:t>
            </w:r>
            <w:r w:rsidR="008C0F70">
              <w:t xml:space="preserve"> </w:t>
            </w:r>
            <w:hyperlink w:anchor="D3" w:history="1">
              <w:r w:rsidR="008C0F70" w:rsidRPr="008C0F70">
                <w:rPr>
                  <w:rStyle w:val="Hyperlink"/>
                </w:rPr>
                <w:t>link</w:t>
              </w:r>
            </w:hyperlink>
          </w:p>
          <w:p w14:paraId="4C229EAC" w14:textId="77777777" w:rsidR="00A4296C" w:rsidRDefault="00A4296C"/>
          <w:p w14:paraId="7A019106" w14:textId="7F2AA2AA" w:rsidR="004944EF" w:rsidRDefault="004944EF">
            <w:r>
              <w:t xml:space="preserve">ESMA </w:t>
            </w:r>
            <w:r w:rsidR="00411DE9">
              <w:t xml:space="preserve">offentliggør vejledning </w:t>
            </w:r>
            <w:r>
              <w:t xml:space="preserve">om </w:t>
            </w:r>
            <w:r w:rsidR="0022776F">
              <w:t xml:space="preserve">bæredygtighedsrelaterede udsagn: </w:t>
            </w:r>
            <w:hyperlink w:anchor="E" w:history="1">
              <w:r w:rsidR="007454AE" w:rsidRPr="007454AE">
                <w:rPr>
                  <w:rStyle w:val="Hyperlink"/>
                </w:rPr>
                <w:t>link</w:t>
              </w:r>
            </w:hyperlink>
          </w:p>
          <w:p w14:paraId="2ED3E9FD" w14:textId="77777777" w:rsidR="00863C6D" w:rsidRDefault="00863C6D"/>
          <w:p w14:paraId="10A64572" w14:textId="03924E14" w:rsidR="00863C6D" w:rsidRDefault="00863C6D" w:rsidP="00863C6D">
            <w:r>
              <w:t>ESMA forbereder overgangen til Single Volume Cap i oktober 2025</w:t>
            </w:r>
            <w:r w:rsidR="00E9516A">
              <w:t xml:space="preserve">: </w:t>
            </w:r>
            <w:hyperlink w:anchor="E1" w:history="1">
              <w:r w:rsidR="00E9516A" w:rsidRPr="00E9516A">
                <w:rPr>
                  <w:rStyle w:val="Hyperlink"/>
                </w:rPr>
                <w:t>link</w:t>
              </w:r>
            </w:hyperlink>
          </w:p>
          <w:p w14:paraId="3D7183C6" w14:textId="77777777" w:rsidR="007B0F61" w:rsidRDefault="007B0F61" w:rsidP="00863C6D"/>
          <w:p w14:paraId="774E809C" w14:textId="77777777" w:rsidR="00D93512" w:rsidRDefault="00D93512"/>
        </w:tc>
      </w:tr>
      <w:tr w:rsidR="00BE4C01" w14:paraId="531CF982" w14:textId="77777777" w:rsidTr="0045749D">
        <w:tc>
          <w:tcPr>
            <w:tcW w:w="9628" w:type="dxa"/>
            <w:shd w:val="clear" w:color="auto" w:fill="D9D9D9" w:themeFill="background1" w:themeFillShade="D9"/>
          </w:tcPr>
          <w:p w14:paraId="7BDC7261" w14:textId="6D8F2E20" w:rsidR="00BE4C01" w:rsidRPr="005945AC" w:rsidRDefault="00BE4C01" w:rsidP="00BE4C01">
            <w:pPr>
              <w:pStyle w:val="Listeafsnit"/>
              <w:numPr>
                <w:ilvl w:val="0"/>
                <w:numId w:val="1"/>
              </w:numPr>
              <w:rPr>
                <w:b/>
                <w:bCs/>
              </w:rPr>
            </w:pPr>
            <w:r w:rsidRPr="005945AC">
              <w:rPr>
                <w:b/>
                <w:bCs/>
              </w:rPr>
              <w:t>DANSK REGULERING</w:t>
            </w:r>
          </w:p>
        </w:tc>
      </w:tr>
      <w:tr w:rsidR="00BE4C01" w14:paraId="31E09EBE" w14:textId="77777777" w:rsidTr="0045749D">
        <w:tc>
          <w:tcPr>
            <w:tcW w:w="9628" w:type="dxa"/>
            <w:shd w:val="clear" w:color="auto" w:fill="D9D9D9" w:themeFill="background1" w:themeFillShade="D9"/>
          </w:tcPr>
          <w:p w14:paraId="199CDD40" w14:textId="62239D98" w:rsidR="00BE4C01" w:rsidRPr="005945AC" w:rsidRDefault="00BE4C01" w:rsidP="00BE4C01">
            <w:pPr>
              <w:pStyle w:val="Listeafsnit"/>
              <w:numPr>
                <w:ilvl w:val="1"/>
                <w:numId w:val="1"/>
              </w:numPr>
              <w:rPr>
                <w:b/>
                <w:bCs/>
              </w:rPr>
            </w:pPr>
            <w:r w:rsidRPr="005945AC">
              <w:rPr>
                <w:b/>
                <w:bCs/>
              </w:rPr>
              <w:t xml:space="preserve"> Love</w:t>
            </w:r>
          </w:p>
        </w:tc>
      </w:tr>
      <w:tr w:rsidR="00BE4C01" w14:paraId="786DA9D6" w14:textId="77777777" w:rsidTr="00BE4C01">
        <w:tc>
          <w:tcPr>
            <w:tcW w:w="9628" w:type="dxa"/>
          </w:tcPr>
          <w:p w14:paraId="5860020E" w14:textId="77777777" w:rsidR="00BE4C01" w:rsidRDefault="00BE4C01"/>
          <w:p w14:paraId="11B87BA8" w14:textId="77777777" w:rsidR="00703ED6" w:rsidRPr="00811C0E" w:rsidRDefault="00703ED6" w:rsidP="00703ED6">
            <w:pPr>
              <w:jc w:val="both"/>
              <w:rPr>
                <w:b/>
                <w:bCs/>
              </w:rPr>
            </w:pPr>
            <w:bookmarkStart w:id="0" w:name="A"/>
            <w:r w:rsidRPr="00811C0E">
              <w:rPr>
                <w:b/>
                <w:bCs/>
              </w:rPr>
              <w:t>Bekendtgørelse nr. 971 af 1. juli 2025 om ikrafttræden af lov nr. 710 af 20. juni 2025 om ændring af lov om Det Centrale Virksomhedsregister, selskabsloven og forskellige andre love (Begrænsning af adgangen til oplysninger om reelle ejere som følge af 6. hvidvaskdirektiv)</w:t>
            </w:r>
          </w:p>
          <w:bookmarkEnd w:id="0"/>
          <w:p w14:paraId="5A335DDB" w14:textId="77777777" w:rsidR="002860A4" w:rsidRDefault="002860A4" w:rsidP="00703ED6">
            <w:pPr>
              <w:jc w:val="both"/>
            </w:pPr>
          </w:p>
          <w:p w14:paraId="6D6C9B58" w14:textId="0B626E6F" w:rsidR="00703ED6" w:rsidRDefault="00703ED6" w:rsidP="00703ED6">
            <w:pPr>
              <w:jc w:val="both"/>
            </w:pPr>
            <w:r>
              <w:t>Bekendtgørelsen sætter lov nr. 710 af 20. juni 2025 om ændring af lov om Det Centrale Virksomhedsregister, selskabsloven og forskellige andre love (Begrænsning af adgangen til oplysninger om reelle ejere som følge af 6. hvidvaskdirektiv) i kraft pr. 1. september 2025.</w:t>
            </w:r>
          </w:p>
          <w:p w14:paraId="664E197B" w14:textId="77777777" w:rsidR="002860A4" w:rsidRDefault="002860A4" w:rsidP="00703ED6">
            <w:pPr>
              <w:jc w:val="both"/>
            </w:pPr>
          </w:p>
          <w:p w14:paraId="7A906B76" w14:textId="7FA489F9" w:rsidR="00703ED6" w:rsidRDefault="00703ED6" w:rsidP="00703ED6">
            <w:pPr>
              <w:jc w:val="both"/>
            </w:pPr>
            <w:r>
              <w:t xml:space="preserve">(Offentliggjort den 2. juli 2025, </w:t>
            </w:r>
            <w:hyperlink r:id="rId9" w:history="1">
              <w:r w:rsidRPr="00811C0E">
                <w:rPr>
                  <w:rStyle w:val="Hyperlink"/>
                </w:rPr>
                <w:t>link</w:t>
              </w:r>
            </w:hyperlink>
            <w:r>
              <w:t>)</w:t>
            </w:r>
          </w:p>
          <w:p w14:paraId="40472632" w14:textId="77777777" w:rsidR="009260E0" w:rsidRDefault="009260E0" w:rsidP="00703ED6">
            <w:pPr>
              <w:jc w:val="both"/>
            </w:pPr>
          </w:p>
          <w:p w14:paraId="1136A53C" w14:textId="77777777" w:rsidR="00703ED6" w:rsidRDefault="00703ED6"/>
        </w:tc>
      </w:tr>
      <w:tr w:rsidR="00BE4C01" w14:paraId="46B86ADE" w14:textId="77777777" w:rsidTr="0045749D">
        <w:tc>
          <w:tcPr>
            <w:tcW w:w="9628" w:type="dxa"/>
            <w:shd w:val="clear" w:color="auto" w:fill="D9D9D9" w:themeFill="background1" w:themeFillShade="D9"/>
          </w:tcPr>
          <w:p w14:paraId="22197C0B" w14:textId="3757CD86" w:rsidR="00BE4C01" w:rsidRPr="005945AC" w:rsidRDefault="00BE4C01" w:rsidP="00BE4C01">
            <w:pPr>
              <w:pStyle w:val="Listeafsnit"/>
              <w:numPr>
                <w:ilvl w:val="1"/>
                <w:numId w:val="1"/>
              </w:numPr>
              <w:rPr>
                <w:b/>
                <w:bCs/>
              </w:rPr>
            </w:pPr>
            <w:r w:rsidRPr="005945AC">
              <w:rPr>
                <w:b/>
                <w:bCs/>
              </w:rPr>
              <w:t>Bekendtgørelse</w:t>
            </w:r>
            <w:r w:rsidR="00136D9B">
              <w:rPr>
                <w:b/>
                <w:bCs/>
              </w:rPr>
              <w:t>r</w:t>
            </w:r>
            <w:r w:rsidRPr="005945AC">
              <w:rPr>
                <w:b/>
                <w:bCs/>
              </w:rPr>
              <w:t xml:space="preserve"> m.v.</w:t>
            </w:r>
          </w:p>
        </w:tc>
      </w:tr>
      <w:tr w:rsidR="00BE4C01" w14:paraId="159B5602" w14:textId="77777777" w:rsidTr="00BE4C01">
        <w:tc>
          <w:tcPr>
            <w:tcW w:w="9628" w:type="dxa"/>
          </w:tcPr>
          <w:p w14:paraId="78B5D170" w14:textId="77777777" w:rsidR="00BE4C01" w:rsidRDefault="00BE4C01"/>
          <w:p w14:paraId="712B0BBC" w14:textId="77777777" w:rsidR="00367779" w:rsidRPr="00367779" w:rsidRDefault="00367779" w:rsidP="00367779">
            <w:pPr>
              <w:rPr>
                <w:b/>
                <w:bCs/>
              </w:rPr>
            </w:pPr>
            <w:bookmarkStart w:id="1" w:name="B"/>
            <w:r w:rsidRPr="00367779">
              <w:rPr>
                <w:b/>
                <w:bCs/>
              </w:rPr>
              <w:t>Bekendtgørelse nr. 987 af 30. juni 2025 om registrering af og adgang til oplysninger om ejere i Erhvervsstyrelsen</w:t>
            </w:r>
          </w:p>
          <w:bookmarkEnd w:id="1"/>
          <w:p w14:paraId="3D452BBB" w14:textId="77777777" w:rsidR="002860A4" w:rsidRDefault="002860A4" w:rsidP="00367779"/>
          <w:p w14:paraId="6B5CACB2" w14:textId="57682DF7" w:rsidR="00367779" w:rsidRPr="00367779" w:rsidRDefault="00367779" w:rsidP="00367779">
            <w:r w:rsidRPr="00367779">
              <w:t>Bekendtgørelsen fastsætter bl.a., hvilke fysiske og juridiske personer der anses for at have legitim interesse i oplysninger om reelle ejere og dermed adgang til disse oplysninger. Virksomheder, der sandsynligvis vil indgå i en transaktion med en modpart, og som ønsker at forhindre hvidvask eller finansiering af terrorisme, vil have en legitim interesse.</w:t>
            </w:r>
            <w:r w:rsidR="00794287">
              <w:t xml:space="preserve"> </w:t>
            </w:r>
            <w:r w:rsidRPr="00367779">
              <w:t>Bekendtgørelsen fastsætter også, hvorledes adgangen faktisk opnås.</w:t>
            </w:r>
          </w:p>
          <w:p w14:paraId="721DC014" w14:textId="77777777" w:rsidR="00794287" w:rsidRDefault="00794287" w:rsidP="00367779"/>
          <w:p w14:paraId="5D5A0F9D" w14:textId="42DEA2F1" w:rsidR="00367779" w:rsidRPr="00367779" w:rsidRDefault="00367779" w:rsidP="00367779">
            <w:r w:rsidRPr="00367779">
              <w:t>Bekendtgørelsen træder i kraft den 1. september 2025 og ophæver samtidig den tilsvarende bekendtgørelse nr. 488 af 18. maj 2017.</w:t>
            </w:r>
          </w:p>
          <w:p w14:paraId="4B0E84E5" w14:textId="77777777" w:rsidR="002860A4" w:rsidRDefault="002860A4" w:rsidP="00367779"/>
          <w:p w14:paraId="6315EA0D" w14:textId="21AB7E07" w:rsidR="00367779" w:rsidRPr="00367779" w:rsidRDefault="00367779" w:rsidP="00367779">
            <w:r w:rsidRPr="00367779">
              <w:t xml:space="preserve">(Offentliggjort den 5. juli 2025, </w:t>
            </w:r>
            <w:hyperlink r:id="rId10" w:history="1">
              <w:r w:rsidRPr="00367779">
                <w:rPr>
                  <w:rStyle w:val="Hyperlink"/>
                </w:rPr>
                <w:t>link</w:t>
              </w:r>
            </w:hyperlink>
            <w:r w:rsidRPr="00367779">
              <w:t>)</w:t>
            </w:r>
          </w:p>
          <w:p w14:paraId="50296FE2" w14:textId="77777777" w:rsidR="00367779" w:rsidRDefault="00367779"/>
          <w:p w14:paraId="5E04E76C" w14:textId="77777777" w:rsidR="00D03018" w:rsidRPr="00134B6B" w:rsidRDefault="00D03018" w:rsidP="00D03018">
            <w:pPr>
              <w:jc w:val="both"/>
              <w:rPr>
                <w:b/>
                <w:bCs/>
              </w:rPr>
            </w:pPr>
            <w:bookmarkStart w:id="2" w:name="C"/>
            <w:r w:rsidRPr="00134B6B">
              <w:rPr>
                <w:b/>
                <w:bCs/>
              </w:rPr>
              <w:t>Udbydere af finansielle produkter opgør bæredygtighed forskelligt</w:t>
            </w:r>
          </w:p>
          <w:bookmarkEnd w:id="2"/>
          <w:p w14:paraId="1DC84371" w14:textId="77777777" w:rsidR="002860A4" w:rsidRDefault="002860A4" w:rsidP="00D03018">
            <w:pPr>
              <w:jc w:val="both"/>
            </w:pPr>
          </w:p>
          <w:p w14:paraId="7D2F0C0C" w14:textId="22F7B957" w:rsidR="00D03018" w:rsidRDefault="00D03018" w:rsidP="00D03018">
            <w:pPr>
              <w:jc w:val="both"/>
            </w:pPr>
            <w:r>
              <w:t xml:space="preserve">I en ny rapport samler Finanstilsynet sine observationer fra en række undersøgelser af, hvordan forvaltere og pensionsselskaber afgør, om en investering kan klassificeres som bæredygtig. I praksis er der meget stor forskel på, hvordan udbyderne opgør bæredygtighed. Rapporten beskriver de væsentligste krav på området og Finanstilsynets forventninger til virksomhederne.  </w:t>
            </w:r>
          </w:p>
          <w:p w14:paraId="16CF1D3F" w14:textId="77777777" w:rsidR="002860A4" w:rsidRDefault="002860A4" w:rsidP="00D03018">
            <w:pPr>
              <w:jc w:val="both"/>
            </w:pPr>
          </w:p>
          <w:p w14:paraId="10EE2531" w14:textId="26D00EA8" w:rsidR="00D03018" w:rsidRDefault="00D03018" w:rsidP="00D03018">
            <w:pPr>
              <w:jc w:val="both"/>
            </w:pPr>
            <w:r>
              <w:t xml:space="preserve">(Offentliggjort den 1. juli 2025, </w:t>
            </w:r>
            <w:hyperlink r:id="rId11" w:history="1">
              <w:r w:rsidRPr="009F3CEE">
                <w:rPr>
                  <w:rStyle w:val="Hyperlink"/>
                </w:rPr>
                <w:t>link</w:t>
              </w:r>
            </w:hyperlink>
            <w:r>
              <w:t>)</w:t>
            </w:r>
          </w:p>
          <w:p w14:paraId="4E942FBC" w14:textId="77777777" w:rsidR="009260E0" w:rsidRDefault="009260E0" w:rsidP="00D03018">
            <w:pPr>
              <w:jc w:val="both"/>
            </w:pPr>
          </w:p>
          <w:p w14:paraId="2BE89B52" w14:textId="77777777" w:rsidR="00D03018" w:rsidRDefault="00D03018"/>
        </w:tc>
      </w:tr>
      <w:tr w:rsidR="00BE4C01" w14:paraId="2E8F680D" w14:textId="77777777" w:rsidTr="0045749D">
        <w:tc>
          <w:tcPr>
            <w:tcW w:w="9628" w:type="dxa"/>
            <w:shd w:val="clear" w:color="auto" w:fill="D9D9D9" w:themeFill="background1" w:themeFillShade="D9"/>
          </w:tcPr>
          <w:p w14:paraId="033F4D91" w14:textId="215F6731" w:rsidR="00BE4C01" w:rsidRPr="005945AC" w:rsidRDefault="00BE4C01" w:rsidP="00BE4C01">
            <w:pPr>
              <w:pStyle w:val="Listeafsnit"/>
              <w:numPr>
                <w:ilvl w:val="0"/>
                <w:numId w:val="1"/>
              </w:numPr>
              <w:rPr>
                <w:b/>
                <w:bCs/>
              </w:rPr>
            </w:pPr>
            <w:r w:rsidRPr="005945AC">
              <w:rPr>
                <w:b/>
                <w:bCs/>
              </w:rPr>
              <w:lastRenderedPageBreak/>
              <w:t>EU-REGULERING (forordninger)</w:t>
            </w:r>
          </w:p>
        </w:tc>
      </w:tr>
      <w:tr w:rsidR="00BE4C01" w14:paraId="6AF8D239" w14:textId="77777777" w:rsidTr="0045749D">
        <w:tc>
          <w:tcPr>
            <w:tcW w:w="9628" w:type="dxa"/>
            <w:shd w:val="clear" w:color="auto" w:fill="D9D9D9" w:themeFill="background1" w:themeFillShade="D9"/>
          </w:tcPr>
          <w:p w14:paraId="0C426A68" w14:textId="017C4220" w:rsidR="00BE4C01" w:rsidRPr="005945AC" w:rsidRDefault="00BE4C01" w:rsidP="00BE4C01">
            <w:pPr>
              <w:pStyle w:val="Listeafsnit"/>
              <w:numPr>
                <w:ilvl w:val="1"/>
                <w:numId w:val="1"/>
              </w:numPr>
              <w:rPr>
                <w:b/>
                <w:bCs/>
              </w:rPr>
            </w:pPr>
            <w:r w:rsidRPr="005945AC">
              <w:rPr>
                <w:b/>
                <w:bCs/>
              </w:rPr>
              <w:t>Niveau 1</w:t>
            </w:r>
          </w:p>
        </w:tc>
      </w:tr>
      <w:tr w:rsidR="00BE4C01" w14:paraId="1DF6C69F" w14:textId="77777777" w:rsidTr="00BE4C01">
        <w:tc>
          <w:tcPr>
            <w:tcW w:w="9628" w:type="dxa"/>
          </w:tcPr>
          <w:p w14:paraId="374D38E2" w14:textId="77777777" w:rsidR="00BE4C01" w:rsidRDefault="00BE4C01"/>
          <w:p w14:paraId="214C36B7" w14:textId="3FF3EABB" w:rsidR="0022776F" w:rsidRDefault="0022776F">
            <w:r>
              <w:t>(intet nyt)</w:t>
            </w:r>
          </w:p>
          <w:p w14:paraId="010E559B" w14:textId="77777777" w:rsidR="0022776F" w:rsidRDefault="0022776F"/>
        </w:tc>
      </w:tr>
      <w:tr w:rsidR="00BE4C01" w14:paraId="33726393" w14:textId="77777777" w:rsidTr="0045749D">
        <w:tc>
          <w:tcPr>
            <w:tcW w:w="9628" w:type="dxa"/>
            <w:shd w:val="clear" w:color="auto" w:fill="D9D9D9" w:themeFill="background1" w:themeFillShade="D9"/>
          </w:tcPr>
          <w:p w14:paraId="5443431C" w14:textId="42CA405D" w:rsidR="00BE4C01" w:rsidRPr="005945AC" w:rsidRDefault="00BE4C01" w:rsidP="00BE4C01">
            <w:pPr>
              <w:pStyle w:val="Listeafsnit"/>
              <w:numPr>
                <w:ilvl w:val="1"/>
                <w:numId w:val="1"/>
              </w:numPr>
              <w:rPr>
                <w:b/>
                <w:bCs/>
              </w:rPr>
            </w:pPr>
            <w:r w:rsidRPr="005945AC">
              <w:rPr>
                <w:b/>
                <w:bCs/>
              </w:rPr>
              <w:t>Niveau 2</w:t>
            </w:r>
          </w:p>
        </w:tc>
      </w:tr>
      <w:tr w:rsidR="00BE4C01" w14:paraId="041C1121" w14:textId="77777777" w:rsidTr="00BE4C01">
        <w:tc>
          <w:tcPr>
            <w:tcW w:w="9628" w:type="dxa"/>
          </w:tcPr>
          <w:p w14:paraId="7481529D" w14:textId="77777777" w:rsidR="00BE4C01" w:rsidRDefault="00BE4C01"/>
          <w:p w14:paraId="54F43EB1" w14:textId="77777777" w:rsidR="00692280" w:rsidRDefault="00692280" w:rsidP="00692280">
            <w:pPr>
              <w:jc w:val="both"/>
            </w:pPr>
            <w:bookmarkStart w:id="3" w:name="D"/>
            <w:r w:rsidRPr="00EC61A9">
              <w:rPr>
                <w:b/>
                <w:bCs/>
              </w:rPr>
              <w:t>Kommissionens delegerede forordning (EU) 2025/532 af 24. marts 2025 om supplerende regler til Europa-Parlamentets og Rådets forordning (EU) 2022/2554 for så vidt angår reguleringsmæssige tekniske standarder, der præciserer de elementer, som en finansiel enhed skal fastlægge og vurdere, når den giver IKT-tjenester, der understøtter kritiske eller vigtige funktioner, i underentreprise</w:t>
            </w:r>
          </w:p>
          <w:bookmarkEnd w:id="3"/>
          <w:p w14:paraId="3383EC6B" w14:textId="77777777" w:rsidR="002860A4" w:rsidRDefault="002860A4" w:rsidP="00692280">
            <w:pPr>
              <w:jc w:val="both"/>
            </w:pPr>
          </w:p>
          <w:p w14:paraId="3915F714" w14:textId="24DBE830" w:rsidR="00692280" w:rsidRDefault="00692280" w:rsidP="00692280">
            <w:pPr>
              <w:jc w:val="both"/>
            </w:pPr>
            <w:r>
              <w:t>Denne niveau 2-forordning under DORA uddyber,</w:t>
            </w:r>
            <w:r w:rsidRPr="00655ED2">
              <w:t xml:space="preserve"> hvilke elementer en finansiel enhed</w:t>
            </w:r>
            <w:r w:rsidR="00794287">
              <w:t xml:space="preserve"> (herunder et fondsmæglerselskab)</w:t>
            </w:r>
            <w:r w:rsidRPr="00655ED2">
              <w:t xml:space="preserve"> </w:t>
            </w:r>
            <w:r>
              <w:t>skal</w:t>
            </w:r>
            <w:r w:rsidRPr="00655ED2">
              <w:t xml:space="preserve"> fastlægge og vurdere, når den udliciterer IKT-tjenester, der understøtter kritiske eller vigtige funktioner.</w:t>
            </w:r>
          </w:p>
          <w:p w14:paraId="4D93C0BB" w14:textId="77777777" w:rsidR="00794287" w:rsidRDefault="00794287" w:rsidP="00692280">
            <w:pPr>
              <w:jc w:val="both"/>
            </w:pPr>
          </w:p>
          <w:p w14:paraId="1AB47E87" w14:textId="223E15FF" w:rsidR="00692280" w:rsidRDefault="00692280" w:rsidP="00692280">
            <w:pPr>
              <w:jc w:val="both"/>
            </w:pPr>
            <w:r>
              <w:t>F</w:t>
            </w:r>
            <w:r w:rsidRPr="007C09DA">
              <w:t>orordning</w:t>
            </w:r>
            <w:r>
              <w:t>en</w:t>
            </w:r>
            <w:r w:rsidRPr="007C09DA">
              <w:t xml:space="preserve"> </w:t>
            </w:r>
            <w:r w:rsidR="00794287">
              <w:t>trådte</w:t>
            </w:r>
            <w:r w:rsidRPr="007C09DA">
              <w:t xml:space="preserve"> i kraft</w:t>
            </w:r>
            <w:r>
              <w:t xml:space="preserve"> den 22. juli 2025. </w:t>
            </w:r>
            <w:r w:rsidRPr="007C09DA">
              <w:t> </w:t>
            </w:r>
          </w:p>
          <w:p w14:paraId="288CCE9A" w14:textId="77777777" w:rsidR="002860A4" w:rsidRDefault="002860A4" w:rsidP="00692280">
            <w:pPr>
              <w:jc w:val="both"/>
            </w:pPr>
          </w:p>
          <w:p w14:paraId="1966C6BB" w14:textId="671194F8" w:rsidR="00692280" w:rsidRDefault="00692280" w:rsidP="00692280">
            <w:pPr>
              <w:jc w:val="both"/>
            </w:pPr>
            <w:r>
              <w:t xml:space="preserve">(Offentliggjort den 2. juli 2025, </w:t>
            </w:r>
            <w:hyperlink r:id="rId12" w:history="1">
              <w:r w:rsidRPr="00AC645A">
                <w:rPr>
                  <w:rStyle w:val="Hyperlink"/>
                </w:rPr>
                <w:t>link</w:t>
              </w:r>
            </w:hyperlink>
            <w:r>
              <w:t>)</w:t>
            </w:r>
          </w:p>
          <w:p w14:paraId="16E2A491" w14:textId="77777777" w:rsidR="00692280" w:rsidRDefault="00692280" w:rsidP="00692280">
            <w:pPr>
              <w:jc w:val="both"/>
            </w:pPr>
          </w:p>
          <w:p w14:paraId="3F8AFAFE" w14:textId="77777777" w:rsidR="003A37E2" w:rsidRDefault="003A37E2" w:rsidP="003A37E2">
            <w:pPr>
              <w:jc w:val="both"/>
              <w:rPr>
                <w:b/>
                <w:bCs/>
              </w:rPr>
            </w:pPr>
            <w:bookmarkStart w:id="4" w:name="D1"/>
            <w:r w:rsidRPr="0077439B">
              <w:rPr>
                <w:b/>
                <w:bCs/>
              </w:rPr>
              <w:t>Kommissionens gennemførelsesforordning (EU) 2025/1338 af 10. juli 2025 om gennemførelsesmæssige tekniske standarder for anvendelsen af Europa-Parlamentets og Rådets forordning (EU) 2023/2859 for så vidt angår det fælles europæiske adgangspunkts funktionaliteter</w:t>
            </w:r>
          </w:p>
          <w:bookmarkEnd w:id="4"/>
          <w:p w14:paraId="51CBC866" w14:textId="77777777" w:rsidR="003A37E2" w:rsidRDefault="003A37E2" w:rsidP="003A37E2">
            <w:pPr>
              <w:jc w:val="both"/>
            </w:pPr>
          </w:p>
          <w:p w14:paraId="11D3E100" w14:textId="77777777" w:rsidR="003A37E2" w:rsidRDefault="003A37E2" w:rsidP="003A37E2">
            <w:pPr>
              <w:jc w:val="both"/>
            </w:pPr>
            <w:r>
              <w:t>Denne niveau 2-forordning fastsætter nærmere regler om d</w:t>
            </w:r>
            <w:r w:rsidRPr="004F52BA">
              <w:t>et fælles europæiske adgangspunkt (ESAP</w:t>
            </w:r>
            <w:r>
              <w:t xml:space="preserve">) og adgangen til en </w:t>
            </w:r>
            <w:r w:rsidRPr="008C7523">
              <w:t>applikationsprogrammeringsgrænseflade (API)</w:t>
            </w:r>
            <w:r>
              <w:t>, som skal</w:t>
            </w:r>
            <w:r w:rsidRPr="0067785E">
              <w:t xml:space="preserve"> sikre tilgængeligheden af oplysninger</w:t>
            </w:r>
            <w:r>
              <w:t xml:space="preserve"> og</w:t>
            </w:r>
            <w:r w:rsidRPr="0067785E">
              <w:t xml:space="preserve"> understøtte en række forskellige formater for oplysninger</w:t>
            </w:r>
            <w:r>
              <w:t>ne.</w:t>
            </w:r>
          </w:p>
          <w:p w14:paraId="2F4E2650" w14:textId="77777777" w:rsidR="00BD66A7" w:rsidRDefault="00BD66A7" w:rsidP="003A37E2">
            <w:pPr>
              <w:jc w:val="both"/>
            </w:pPr>
          </w:p>
          <w:p w14:paraId="086B7EB7" w14:textId="1974C249" w:rsidR="003A37E2" w:rsidRDefault="003A37E2" w:rsidP="003A37E2">
            <w:pPr>
              <w:jc w:val="both"/>
            </w:pPr>
            <w:r>
              <w:t>Forordningen</w:t>
            </w:r>
            <w:r w:rsidRPr="00A80DA6">
              <w:t xml:space="preserve"> finder anvendelse fra den 10. juli 2026.</w:t>
            </w:r>
          </w:p>
          <w:p w14:paraId="4A53E484" w14:textId="77777777" w:rsidR="003A37E2" w:rsidRDefault="003A37E2" w:rsidP="003A37E2">
            <w:pPr>
              <w:jc w:val="both"/>
            </w:pPr>
          </w:p>
          <w:p w14:paraId="1EE8F16C" w14:textId="022115F4" w:rsidR="003A37E2" w:rsidRDefault="003A37E2" w:rsidP="003A37E2">
            <w:pPr>
              <w:jc w:val="both"/>
            </w:pPr>
            <w:r>
              <w:t xml:space="preserve">(Offentliggjort den 11. juli 2025, </w:t>
            </w:r>
            <w:hyperlink r:id="rId13" w:anchor="/implementingActs/11055?lang=en" w:history="1">
              <w:r w:rsidRPr="00580290">
                <w:rPr>
                  <w:rStyle w:val="Hyperlink"/>
                </w:rPr>
                <w:t>link</w:t>
              </w:r>
            </w:hyperlink>
            <w:r>
              <w:t>)</w:t>
            </w:r>
          </w:p>
          <w:p w14:paraId="698285E3" w14:textId="77777777" w:rsidR="003A37E2" w:rsidRDefault="003A37E2" w:rsidP="003A37E2">
            <w:pPr>
              <w:jc w:val="both"/>
            </w:pPr>
          </w:p>
          <w:p w14:paraId="4F574482" w14:textId="77777777" w:rsidR="003A37E2" w:rsidRDefault="003A37E2" w:rsidP="003A37E2">
            <w:pPr>
              <w:jc w:val="both"/>
              <w:rPr>
                <w:b/>
                <w:bCs/>
              </w:rPr>
            </w:pPr>
            <w:bookmarkStart w:id="5" w:name="D2"/>
            <w:r w:rsidRPr="002C3F99">
              <w:rPr>
                <w:b/>
                <w:bCs/>
              </w:rPr>
              <w:t>Kommissionens gennemførelsesforordning (EU) 2025/1339 af 10. juli 2025 om gennemførelsesmæssige tekniske standarder for anvendelsen af Europa-Parlamentets og Rådets forordning (EU) 2023/2859 for så vidt angår visse af indsamlingsorganernes opgaver</w:t>
            </w:r>
          </w:p>
          <w:bookmarkEnd w:id="5"/>
          <w:p w14:paraId="37095F4F" w14:textId="77777777" w:rsidR="003A37E2" w:rsidRDefault="003A37E2" w:rsidP="003A37E2">
            <w:pPr>
              <w:jc w:val="both"/>
            </w:pPr>
          </w:p>
          <w:p w14:paraId="61EC1068" w14:textId="0F72829C" w:rsidR="003A37E2" w:rsidRPr="002C1202" w:rsidRDefault="003A37E2" w:rsidP="003A37E2">
            <w:pPr>
              <w:jc w:val="both"/>
            </w:pPr>
            <w:r>
              <w:lastRenderedPageBreak/>
              <w:t>Denne niveau 2-forordning fastsætter nærmere regler om f</w:t>
            </w:r>
            <w:r w:rsidRPr="002C1202">
              <w:t>unktionelle standarder og karakteristika for det fælles europæiske adgangspunkt</w:t>
            </w:r>
            <w:r>
              <w:t xml:space="preserve"> (ESAP).</w:t>
            </w:r>
          </w:p>
          <w:p w14:paraId="5A8B8603" w14:textId="77777777" w:rsidR="00463A44" w:rsidRDefault="00463A44" w:rsidP="003A37E2">
            <w:pPr>
              <w:jc w:val="both"/>
            </w:pPr>
          </w:p>
          <w:p w14:paraId="383E562D" w14:textId="13450989" w:rsidR="003A37E2" w:rsidRDefault="003A37E2" w:rsidP="003A37E2">
            <w:pPr>
              <w:jc w:val="both"/>
            </w:pPr>
            <w:r>
              <w:t>Forordningen</w:t>
            </w:r>
            <w:r w:rsidRPr="00A80DA6">
              <w:t xml:space="preserve"> finder anvendelse fra den 10. juli 2026.</w:t>
            </w:r>
          </w:p>
          <w:p w14:paraId="1C2BAFAD" w14:textId="77777777" w:rsidR="003A37E2" w:rsidRDefault="003A37E2" w:rsidP="003A37E2">
            <w:pPr>
              <w:jc w:val="both"/>
            </w:pPr>
          </w:p>
          <w:p w14:paraId="4A7CC182" w14:textId="7D9A1BDC" w:rsidR="003A37E2" w:rsidRDefault="003A37E2" w:rsidP="003A37E2">
            <w:pPr>
              <w:jc w:val="both"/>
            </w:pPr>
            <w:r>
              <w:t xml:space="preserve">(Offentliggjort den 11. juli 2025, </w:t>
            </w:r>
            <w:hyperlink r:id="rId14" w:history="1">
              <w:r w:rsidRPr="00BA0C4C">
                <w:rPr>
                  <w:rStyle w:val="Hyperlink"/>
                </w:rPr>
                <w:t>link</w:t>
              </w:r>
            </w:hyperlink>
            <w:r>
              <w:t>)</w:t>
            </w:r>
          </w:p>
          <w:p w14:paraId="365FE3C5" w14:textId="77777777" w:rsidR="00032C9F" w:rsidRDefault="00032C9F" w:rsidP="003A37E2">
            <w:pPr>
              <w:jc w:val="both"/>
            </w:pPr>
          </w:p>
          <w:p w14:paraId="3F2674A8" w14:textId="77777777" w:rsidR="00032C9F" w:rsidRDefault="00032C9F" w:rsidP="00032C9F">
            <w:pPr>
              <w:jc w:val="both"/>
              <w:rPr>
                <w:b/>
                <w:bCs/>
              </w:rPr>
            </w:pPr>
            <w:bookmarkStart w:id="6" w:name="D3"/>
            <w:r w:rsidRPr="003F435B">
              <w:rPr>
                <w:b/>
                <w:bCs/>
              </w:rPr>
              <w:t>Kommissionens delegerede forordning (EU) 2025/1184 af 10. juni 2025 om ændring af delegeret forordning (EU) 2016/1675 for at tilføje Algeriet, Angola, Elfenbenskysten, Kenya, Laos, Libanon, Monaco, Namibia, Nepal og Venezuela til listen over højrisikotredjelande, som på højt politisk plan skriftligt har forpligtet sig til at afhjælpe de identifierede mangler, og som har udarbejdet en handlingsplan sammen med FATF, og om at fjerne Barbados, Gibraltar, Jamaica, Panama, Filippinerne, Senegal, Uganda og De Forenede Arabiske Emirater fra denne liste</w:t>
            </w:r>
          </w:p>
          <w:bookmarkEnd w:id="6"/>
          <w:p w14:paraId="09AC2BDB" w14:textId="77777777" w:rsidR="00032C9F" w:rsidRDefault="00032C9F" w:rsidP="00032C9F">
            <w:pPr>
              <w:jc w:val="both"/>
            </w:pPr>
          </w:p>
          <w:p w14:paraId="41563A3B" w14:textId="162E4F7D" w:rsidR="00032C9F" w:rsidRDefault="00032C9F" w:rsidP="00032C9F">
            <w:pPr>
              <w:jc w:val="both"/>
            </w:pPr>
            <w:r>
              <w:t>Forordningen opdaterer Kommissionens delegerede forordning (EU) 2016/1675, som identificerer højrisikotredjelande i forhold til AML/CTF.</w:t>
            </w:r>
          </w:p>
          <w:p w14:paraId="04F1C291" w14:textId="77777777" w:rsidR="00032C9F" w:rsidRDefault="00032C9F" w:rsidP="00032C9F">
            <w:pPr>
              <w:jc w:val="both"/>
            </w:pPr>
          </w:p>
          <w:p w14:paraId="2404C42C" w14:textId="2D1B21F0" w:rsidR="00032C9F" w:rsidRDefault="00032C9F" w:rsidP="00032C9F">
            <w:pPr>
              <w:jc w:val="both"/>
            </w:pPr>
            <w:r>
              <w:t xml:space="preserve">(Offentliggjort den 16. juli 2025, </w:t>
            </w:r>
            <w:hyperlink r:id="rId15" w:history="1">
              <w:r w:rsidRPr="00894265">
                <w:rPr>
                  <w:rStyle w:val="Hyperlink"/>
                </w:rPr>
                <w:t>link</w:t>
              </w:r>
            </w:hyperlink>
            <w:r>
              <w:t>)</w:t>
            </w:r>
          </w:p>
          <w:p w14:paraId="3A2B426A" w14:textId="77777777" w:rsidR="009260E0" w:rsidRDefault="009260E0" w:rsidP="00032C9F">
            <w:pPr>
              <w:jc w:val="both"/>
            </w:pPr>
          </w:p>
          <w:p w14:paraId="570C0B58" w14:textId="77777777" w:rsidR="005A2BF8" w:rsidRDefault="005A2BF8"/>
        </w:tc>
      </w:tr>
      <w:tr w:rsidR="00BE4C01" w14:paraId="15D16C97" w14:textId="77777777" w:rsidTr="0045749D">
        <w:tc>
          <w:tcPr>
            <w:tcW w:w="9628" w:type="dxa"/>
            <w:shd w:val="clear" w:color="auto" w:fill="D9D9D9" w:themeFill="background1" w:themeFillShade="D9"/>
          </w:tcPr>
          <w:p w14:paraId="2EAF4AB2" w14:textId="47D47A5D" w:rsidR="00BE4C01" w:rsidRPr="005945AC" w:rsidRDefault="00BE4C01" w:rsidP="00BE4C01">
            <w:pPr>
              <w:pStyle w:val="Listeafsnit"/>
              <w:numPr>
                <w:ilvl w:val="0"/>
                <w:numId w:val="1"/>
              </w:numPr>
              <w:rPr>
                <w:b/>
                <w:bCs/>
              </w:rPr>
            </w:pPr>
            <w:r w:rsidRPr="005945AC">
              <w:rPr>
                <w:b/>
                <w:bCs/>
              </w:rPr>
              <w:lastRenderedPageBreak/>
              <w:t>RETNINGSLINJER FRA ESA’ERNE</w:t>
            </w:r>
          </w:p>
        </w:tc>
      </w:tr>
      <w:tr w:rsidR="00BE4C01" w14:paraId="7EFB212B" w14:textId="77777777" w:rsidTr="0045749D">
        <w:tc>
          <w:tcPr>
            <w:tcW w:w="9628" w:type="dxa"/>
            <w:shd w:val="clear" w:color="auto" w:fill="D9D9D9" w:themeFill="background1" w:themeFillShade="D9"/>
          </w:tcPr>
          <w:p w14:paraId="08A36234" w14:textId="6C0B6A7D" w:rsidR="00BE4C01" w:rsidRPr="005945AC" w:rsidRDefault="00BE4C01" w:rsidP="00BE4C01">
            <w:pPr>
              <w:pStyle w:val="Listeafsnit"/>
              <w:numPr>
                <w:ilvl w:val="1"/>
                <w:numId w:val="1"/>
              </w:numPr>
              <w:rPr>
                <w:b/>
                <w:bCs/>
              </w:rPr>
            </w:pPr>
            <w:r w:rsidRPr="005945AC">
              <w:rPr>
                <w:b/>
                <w:bCs/>
              </w:rPr>
              <w:t>EBA</w:t>
            </w:r>
          </w:p>
        </w:tc>
      </w:tr>
      <w:tr w:rsidR="00BE4C01" w14:paraId="46B54A56" w14:textId="77777777" w:rsidTr="00BE4C01">
        <w:tc>
          <w:tcPr>
            <w:tcW w:w="9628" w:type="dxa"/>
          </w:tcPr>
          <w:p w14:paraId="54ACD861" w14:textId="77777777" w:rsidR="00BE4C01" w:rsidRDefault="00BE4C01"/>
          <w:p w14:paraId="42BA4D42" w14:textId="763CBDF5" w:rsidR="00D04028" w:rsidRDefault="00D04028">
            <w:r>
              <w:t>(Intet nyt)</w:t>
            </w:r>
          </w:p>
          <w:p w14:paraId="5E1E2D1B" w14:textId="77777777" w:rsidR="00D04028" w:rsidRDefault="00D04028"/>
        </w:tc>
      </w:tr>
      <w:tr w:rsidR="00BE4C01" w14:paraId="2CFF0838" w14:textId="77777777" w:rsidTr="0045749D">
        <w:tc>
          <w:tcPr>
            <w:tcW w:w="9628" w:type="dxa"/>
            <w:shd w:val="clear" w:color="auto" w:fill="D9D9D9" w:themeFill="background1" w:themeFillShade="D9"/>
          </w:tcPr>
          <w:p w14:paraId="01FEF4B9" w14:textId="752585A1" w:rsidR="00BE4C01" w:rsidRPr="005945AC" w:rsidRDefault="00BE4C01" w:rsidP="00BE4C01">
            <w:pPr>
              <w:pStyle w:val="Listeafsnit"/>
              <w:numPr>
                <w:ilvl w:val="1"/>
                <w:numId w:val="1"/>
              </w:numPr>
              <w:rPr>
                <w:b/>
                <w:bCs/>
              </w:rPr>
            </w:pPr>
            <w:r w:rsidRPr="005945AC">
              <w:rPr>
                <w:b/>
                <w:bCs/>
              </w:rPr>
              <w:t>ESMA</w:t>
            </w:r>
          </w:p>
        </w:tc>
      </w:tr>
      <w:tr w:rsidR="00BE4C01" w14:paraId="7F315866" w14:textId="77777777" w:rsidTr="00BE4C01">
        <w:tc>
          <w:tcPr>
            <w:tcW w:w="9628" w:type="dxa"/>
          </w:tcPr>
          <w:p w14:paraId="4A5E003C" w14:textId="77777777" w:rsidR="00BE4C01" w:rsidRDefault="00BE4C01"/>
          <w:p w14:paraId="274AF3F6" w14:textId="77777777" w:rsidR="00D0366D" w:rsidRPr="00122157" w:rsidRDefault="00D0366D" w:rsidP="00D0366D">
            <w:pPr>
              <w:jc w:val="both"/>
              <w:rPr>
                <w:b/>
                <w:bCs/>
              </w:rPr>
            </w:pPr>
            <w:bookmarkStart w:id="7" w:name="E"/>
            <w:r w:rsidRPr="003D4182">
              <w:rPr>
                <w:b/>
                <w:bCs/>
              </w:rPr>
              <w:t>ESMA fremmer klarhed i bæredygtighedsrelateret kommunikation</w:t>
            </w:r>
          </w:p>
          <w:bookmarkEnd w:id="7"/>
          <w:p w14:paraId="48C4CACC" w14:textId="77777777" w:rsidR="002860A4" w:rsidRDefault="002860A4" w:rsidP="00D0366D">
            <w:pPr>
              <w:jc w:val="both"/>
            </w:pPr>
          </w:p>
          <w:p w14:paraId="017DDBBE" w14:textId="3CDEC1FD" w:rsidR="00D0366D" w:rsidRPr="00122157" w:rsidRDefault="00D0366D" w:rsidP="00D0366D">
            <w:pPr>
              <w:jc w:val="both"/>
            </w:pPr>
            <w:r>
              <w:t xml:space="preserve">ESMA har </w:t>
            </w:r>
            <w:r w:rsidRPr="00292453">
              <w:t>offentliggjor</w:t>
            </w:r>
            <w:r>
              <w:t>t</w:t>
            </w:r>
            <w:r w:rsidRPr="00292453">
              <w:t xml:space="preserve"> et tematisk notat om bæredygtighedsrelaterede </w:t>
            </w:r>
            <w:r>
              <w:t>udsagn</w:t>
            </w:r>
            <w:r w:rsidRPr="00292453">
              <w:t>, der anvendes i kommunikation</w:t>
            </w:r>
            <w:r>
              <w:t>, der ikke er lovpligtig</w:t>
            </w:r>
            <w:r w:rsidRPr="00292453">
              <w:t xml:space="preserve">. </w:t>
            </w:r>
            <w:r>
              <w:t xml:space="preserve">Notatet </w:t>
            </w:r>
            <w:r w:rsidRPr="00292453">
              <w:t>skitserer fire vejledende principper for fremsættelse af bæredygtigheds</w:t>
            </w:r>
            <w:r>
              <w:t>udsagn</w:t>
            </w:r>
            <w:r w:rsidRPr="00292453">
              <w:t>, der er i overensstemmelse med tidligere publikationer fra EIOPA</w:t>
            </w:r>
            <w:r>
              <w:t xml:space="preserve"> og </w:t>
            </w:r>
            <w:r w:rsidRPr="00292453">
              <w:t xml:space="preserve">EBA.  </w:t>
            </w:r>
            <w:r>
              <w:t xml:space="preserve">Notatet </w:t>
            </w:r>
            <w:r w:rsidRPr="00292453">
              <w:t xml:space="preserve">fokuserer på bæredygtighedsoplysninger såsom </w:t>
            </w:r>
            <w:r>
              <w:t>mærkninger</w:t>
            </w:r>
            <w:r w:rsidRPr="00292453">
              <w:t xml:space="preserve"> eller </w:t>
            </w:r>
            <w:r>
              <w:t xml:space="preserve">tildeling af </w:t>
            </w:r>
            <w:r w:rsidRPr="00292453">
              <w:t xml:space="preserve">priser. </w:t>
            </w:r>
          </w:p>
          <w:p w14:paraId="0AFF91AA" w14:textId="77777777" w:rsidR="002860A4" w:rsidRDefault="002860A4" w:rsidP="00D0366D">
            <w:pPr>
              <w:jc w:val="both"/>
            </w:pPr>
          </w:p>
          <w:p w14:paraId="5463C46A" w14:textId="40A4BD51" w:rsidR="00D0366D" w:rsidRPr="003D4182" w:rsidRDefault="00D0366D" w:rsidP="00D0366D">
            <w:pPr>
              <w:jc w:val="both"/>
            </w:pPr>
            <w:r>
              <w:t xml:space="preserve">(Offentliggjort den 1. juli 2025, </w:t>
            </w:r>
            <w:hyperlink r:id="rId16" w:history="1">
              <w:r w:rsidRPr="003D4182">
                <w:rPr>
                  <w:rStyle w:val="Hyperlink"/>
                </w:rPr>
                <w:t>link</w:t>
              </w:r>
            </w:hyperlink>
            <w:r>
              <w:t>)</w:t>
            </w:r>
          </w:p>
          <w:p w14:paraId="7C8F7A12" w14:textId="77777777" w:rsidR="00D0366D" w:rsidRDefault="00D0366D"/>
          <w:p w14:paraId="3AD5164E" w14:textId="77777777" w:rsidR="00F65FF8" w:rsidRPr="00682052" w:rsidRDefault="00F65FF8" w:rsidP="00F65FF8">
            <w:pPr>
              <w:jc w:val="both"/>
              <w:rPr>
                <w:b/>
                <w:bCs/>
              </w:rPr>
            </w:pPr>
            <w:bookmarkStart w:id="8" w:name="E1"/>
            <w:r w:rsidRPr="00682052">
              <w:rPr>
                <w:b/>
                <w:bCs/>
              </w:rPr>
              <w:t xml:space="preserve">ESMA forbereder overgangen til </w:t>
            </w:r>
            <w:r>
              <w:rPr>
                <w:b/>
                <w:bCs/>
              </w:rPr>
              <w:t>Single Volume Cap</w:t>
            </w:r>
            <w:r w:rsidRPr="00682052">
              <w:rPr>
                <w:b/>
                <w:bCs/>
              </w:rPr>
              <w:t xml:space="preserve"> i oktober 2025</w:t>
            </w:r>
          </w:p>
          <w:bookmarkEnd w:id="8"/>
          <w:p w14:paraId="72B9E201" w14:textId="77777777" w:rsidR="00F65FF8" w:rsidRDefault="00F65FF8" w:rsidP="00F65FF8">
            <w:pPr>
              <w:jc w:val="both"/>
            </w:pPr>
          </w:p>
          <w:p w14:paraId="1BC587CE" w14:textId="7E0A7866" w:rsidR="00F65FF8" w:rsidRPr="00682052" w:rsidRDefault="00F65FF8" w:rsidP="00F65FF8">
            <w:pPr>
              <w:jc w:val="both"/>
            </w:pPr>
            <w:r>
              <w:t>ESMA har</w:t>
            </w:r>
            <w:r w:rsidRPr="00682052">
              <w:t xml:space="preserve"> </w:t>
            </w:r>
            <w:r>
              <w:t xml:space="preserve">bekendtgjort </w:t>
            </w:r>
            <w:r w:rsidRPr="00682052">
              <w:t xml:space="preserve">opdateringen af volumenloftssystemet, der vil </w:t>
            </w:r>
            <w:r>
              <w:t>overgå</w:t>
            </w:r>
            <w:r w:rsidRPr="00682052">
              <w:t xml:space="preserve"> fra den tidligere dobbelte volumenloftsmekanisme (DVCM) til en "enkelt" volumenloftsmekanisme (VCM) i oktober i henhold til de ændringer, der blev indført ved MiFIR Review.</w:t>
            </w:r>
          </w:p>
          <w:p w14:paraId="4E15268C" w14:textId="77777777" w:rsidR="00F65FF8" w:rsidRDefault="00F65FF8" w:rsidP="00F65FF8">
            <w:pPr>
              <w:jc w:val="both"/>
            </w:pPr>
          </w:p>
          <w:p w14:paraId="03F798AC" w14:textId="6020316E" w:rsidR="00F65FF8" w:rsidRDefault="00F65FF8" w:rsidP="00F65FF8">
            <w:pPr>
              <w:jc w:val="both"/>
            </w:pPr>
            <w:r>
              <w:t xml:space="preserve">(Offentliggjort den 24. juli 2025, </w:t>
            </w:r>
            <w:hyperlink r:id="rId17" w:history="1">
              <w:r w:rsidRPr="00682052">
                <w:rPr>
                  <w:rStyle w:val="Hyperlink"/>
                </w:rPr>
                <w:t>link</w:t>
              </w:r>
            </w:hyperlink>
            <w:r>
              <w:t>)</w:t>
            </w:r>
          </w:p>
          <w:p w14:paraId="0F5D45F3" w14:textId="77777777" w:rsidR="009260E0" w:rsidRPr="00E522CD" w:rsidRDefault="009260E0" w:rsidP="00F65FF8">
            <w:pPr>
              <w:jc w:val="both"/>
              <w:rPr>
                <w:lang w:val="en-US"/>
              </w:rPr>
            </w:pPr>
          </w:p>
          <w:p w14:paraId="29E632A3" w14:textId="77777777" w:rsidR="00D0366D" w:rsidRDefault="00D0366D"/>
        </w:tc>
      </w:tr>
    </w:tbl>
    <w:p w14:paraId="329D25E6" w14:textId="52FB91A9" w:rsidR="00463A44" w:rsidRDefault="00463A44"/>
    <w:p w14:paraId="180FD969" w14:textId="77777777" w:rsidR="00463A44" w:rsidRDefault="00463A44">
      <w:r>
        <w:br w:type="page"/>
      </w:r>
    </w:p>
    <w:p w14:paraId="37C67176" w14:textId="77777777" w:rsidR="00BE4C01" w:rsidRDefault="00BE4C01"/>
    <w:p w14:paraId="251BD954" w14:textId="54A22563" w:rsidR="00BE4C01" w:rsidRPr="00BE4C01" w:rsidRDefault="00BE4C01" w:rsidP="00BE4C01">
      <w:pPr>
        <w:rPr>
          <w:i/>
          <w:iCs/>
        </w:rPr>
      </w:pPr>
      <w:r w:rsidRPr="00BE4C01">
        <w:rPr>
          <w:i/>
          <w:iCs/>
        </w:rPr>
        <w:t xml:space="preserve">Denne oversigt over ny finansiel regulering er udvalgt af </w:t>
      </w:r>
      <w:r w:rsidR="001928E1">
        <w:rPr>
          <w:i/>
          <w:iCs/>
        </w:rPr>
        <w:t>Equity Law Advokatanpartsselskab</w:t>
      </w:r>
      <w:r w:rsidRPr="00BE4C01">
        <w:rPr>
          <w:i/>
          <w:iCs/>
        </w:rPr>
        <w:t xml:space="preserve"> ud fra regulering, der retter sig direkte til fondsmæglerselskaber og deres holdingvirksomheder. Oversigten er en informationstjeneste og udgør ikke juridisk rådgivning, og </w:t>
      </w:r>
      <w:r w:rsidR="000A03EB">
        <w:rPr>
          <w:i/>
          <w:iCs/>
        </w:rPr>
        <w:t>Equity Law Advokatanpartsselskab</w:t>
      </w:r>
      <w:r w:rsidRPr="00BE4C01">
        <w:rPr>
          <w:i/>
          <w:iCs/>
        </w:rPr>
        <w:t xml:space="preserve"> påtager sig ikke ansvar for fejl eller mangler. </w:t>
      </w:r>
      <w:r w:rsidRPr="00BE4C01">
        <w:rPr>
          <w:noProof/>
        </w:rPr>
        <w:drawing>
          <wp:anchor distT="0" distB="0" distL="114300" distR="114300" simplePos="0" relativeHeight="251659264" behindDoc="0" locked="0" layoutInCell="1" allowOverlap="1" wp14:anchorId="7F4E4D6D" wp14:editId="79FD38D8">
            <wp:simplePos x="0" y="0"/>
            <wp:positionH relativeFrom="column">
              <wp:posOffset>-4098</wp:posOffset>
            </wp:positionH>
            <wp:positionV relativeFrom="paragraph">
              <wp:posOffset>168</wp:posOffset>
            </wp:positionV>
            <wp:extent cx="1401445" cy="1504950"/>
            <wp:effectExtent l="0" t="0" r="8255" b="0"/>
            <wp:wrapSquare wrapText="bothSides"/>
            <wp:docPr id="1686948146" name="Billede 1686948146" descr="Et billede, der indeholder person, mur, menneske,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erson, mur, menneske, indendørs&#10;&#10;Automatisk genereret beskrivels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23285"/>
                    <a:stretch/>
                  </pic:blipFill>
                  <pic:spPr bwMode="auto">
                    <a:xfrm>
                      <a:off x="0" y="0"/>
                      <a:ext cx="1401445" cy="1504950"/>
                    </a:xfrm>
                    <a:prstGeom prst="rect">
                      <a:avLst/>
                    </a:prstGeom>
                    <a:noFill/>
                    <a:ln>
                      <a:noFill/>
                    </a:ln>
                    <a:extLst>
                      <a:ext uri="{53640926-AAD7-44D8-BBD7-CCE9431645EC}">
                        <a14:shadowObscured xmlns:a14="http://schemas.microsoft.com/office/drawing/2010/main"/>
                      </a:ext>
                    </a:extLst>
                  </pic:spPr>
                </pic:pic>
              </a:graphicData>
            </a:graphic>
          </wp:anchor>
        </w:drawing>
      </w:r>
    </w:p>
    <w:p w14:paraId="386D39AB" w14:textId="228586F2" w:rsidR="00BE4C01" w:rsidRPr="00BE4C01" w:rsidRDefault="00BE4C01" w:rsidP="00BE4C01">
      <w:pPr>
        <w:rPr>
          <w:i/>
          <w:iCs/>
        </w:rPr>
      </w:pPr>
      <w:r w:rsidRPr="00BE4C01">
        <w:rPr>
          <w:i/>
          <w:iCs/>
        </w:rPr>
        <w:t xml:space="preserve">Oversigten er redigeret af advokat Camilla Søborg, </w:t>
      </w:r>
      <w:hyperlink r:id="rId19" w:history="1">
        <w:r w:rsidR="000A03EB" w:rsidRPr="00401311">
          <w:rPr>
            <w:rStyle w:val="Hyperlink"/>
            <w:i/>
            <w:iCs/>
          </w:rPr>
          <w:t>cas@equitylaw.dk</w:t>
        </w:r>
      </w:hyperlink>
      <w:r w:rsidRPr="00BE4C01">
        <w:rPr>
          <w:i/>
          <w:iCs/>
        </w:rPr>
        <w:t xml:space="preserve">, tlf. 53500914, som du kan rette henvendelse til, hvis du har kommentarer eller spørgsmål. </w:t>
      </w:r>
    </w:p>
    <w:p w14:paraId="514A19E8" w14:textId="77777777" w:rsidR="00BE4C01" w:rsidRPr="00BE4C01" w:rsidRDefault="00BE4C01" w:rsidP="00BE4C01">
      <w:pPr>
        <w:rPr>
          <w:i/>
          <w:iCs/>
        </w:rPr>
      </w:pPr>
    </w:p>
    <w:p w14:paraId="22D0A962" w14:textId="09AEDB04" w:rsidR="00BE4C01" w:rsidRPr="00BE4C01" w:rsidRDefault="006C57C3" w:rsidP="00BE4C01">
      <w:r>
        <w:rPr>
          <w:noProof/>
        </w:rPr>
        <w:drawing>
          <wp:inline distT="0" distB="0" distL="0" distR="0" wp14:anchorId="03371999" wp14:editId="5DB5042A">
            <wp:extent cx="1495425" cy="295275"/>
            <wp:effectExtent l="0" t="0" r="9525" b="9525"/>
            <wp:docPr id="994185766" name="Billede 1" descr="Et billede, der indeholder Font/skrifttype, Grafik, logo,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185766" name="Billede 1" descr="Et billede, der indeholder Font/skrifttype, Grafik, logo, tekst&#10;&#10;Automatisk genereret beskrivelse"/>
                    <pic:cNvPicPr>
                      <a:picLocks noChangeAspect="1" noChangeArrowheads="1"/>
                    </pic:cNvPicPr>
                  </pic:nvPicPr>
                  <pic:blipFill rotWithShape="1">
                    <a:blip r:embed="rId20">
                      <a:extLst>
                        <a:ext uri="{28A0092B-C50C-407E-A947-70E740481C1C}">
                          <a14:useLocalDpi xmlns:a14="http://schemas.microsoft.com/office/drawing/2010/main" val="0"/>
                        </a:ext>
                      </a:extLst>
                    </a:blip>
                    <a:srcRect l="9076" t="-2857" r="11765" b="14287"/>
                    <a:stretch/>
                  </pic:blipFill>
                  <pic:spPr bwMode="auto">
                    <a:xfrm>
                      <a:off x="0" y="0"/>
                      <a:ext cx="1495425" cy="295275"/>
                    </a:xfrm>
                    <a:prstGeom prst="rect">
                      <a:avLst/>
                    </a:prstGeom>
                    <a:noFill/>
                    <a:ln>
                      <a:noFill/>
                    </a:ln>
                    <a:extLst>
                      <a:ext uri="{53640926-AAD7-44D8-BBD7-CCE9431645EC}">
                        <a14:shadowObscured xmlns:a14="http://schemas.microsoft.com/office/drawing/2010/main"/>
                      </a:ext>
                    </a:extLst>
                  </pic:spPr>
                </pic:pic>
              </a:graphicData>
            </a:graphic>
          </wp:inline>
        </w:drawing>
      </w:r>
    </w:p>
    <w:p w14:paraId="39FECEBF" w14:textId="64DC358D" w:rsidR="00BE4C01" w:rsidRPr="00BE4C01" w:rsidRDefault="00A356F8" w:rsidP="00BE4C01">
      <w:r>
        <w:t>Equity Law Advokatanpartsselskab</w:t>
      </w:r>
      <w:r w:rsidR="00BE4C01" w:rsidRPr="00BE4C01">
        <w:t>,</w:t>
      </w:r>
      <w:r w:rsidR="00BE4C01" w:rsidRPr="00BE4C01">
        <w:rPr>
          <w:b/>
          <w:bCs/>
        </w:rPr>
        <w:t xml:space="preserve"> </w:t>
      </w:r>
      <w:r w:rsidR="00BE4C01" w:rsidRPr="00BE4C01">
        <w:t xml:space="preserve">CVR-nr. </w:t>
      </w:r>
      <w:r w:rsidR="000D0984" w:rsidRPr="000D0984">
        <w:t>42512273</w:t>
      </w:r>
      <w:r w:rsidR="00BE4C01" w:rsidRPr="00BE4C01">
        <w:t xml:space="preserve">, </w:t>
      </w:r>
      <w:r w:rsidR="000D0984">
        <w:t>Strandvejen 60</w:t>
      </w:r>
      <w:r w:rsidR="00BE4C01" w:rsidRPr="00BE4C01">
        <w:t>, DK-2900 Hellerup</w:t>
      </w:r>
    </w:p>
    <w:p w14:paraId="6AACDA41" w14:textId="77777777" w:rsidR="00BE4C01" w:rsidRDefault="00BE4C01"/>
    <w:sectPr w:rsidR="00BE4C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9335C"/>
    <w:multiLevelType w:val="multilevel"/>
    <w:tmpl w:val="DCAC5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63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01"/>
    <w:rsid w:val="00032C9F"/>
    <w:rsid w:val="000A03EB"/>
    <w:rsid w:val="000D0984"/>
    <w:rsid w:val="001163B2"/>
    <w:rsid w:val="00136D9B"/>
    <w:rsid w:val="0014126F"/>
    <w:rsid w:val="001928E1"/>
    <w:rsid w:val="001D2801"/>
    <w:rsid w:val="0022776F"/>
    <w:rsid w:val="00265438"/>
    <w:rsid w:val="002860A4"/>
    <w:rsid w:val="002B6B87"/>
    <w:rsid w:val="002E3DE6"/>
    <w:rsid w:val="00300BB2"/>
    <w:rsid w:val="00321028"/>
    <w:rsid w:val="00344CB3"/>
    <w:rsid w:val="00367779"/>
    <w:rsid w:val="003A37E2"/>
    <w:rsid w:val="003B7D51"/>
    <w:rsid w:val="004044A5"/>
    <w:rsid w:val="00411DE9"/>
    <w:rsid w:val="00427ED3"/>
    <w:rsid w:val="00455BC3"/>
    <w:rsid w:val="0045749D"/>
    <w:rsid w:val="00463A44"/>
    <w:rsid w:val="004944EF"/>
    <w:rsid w:val="004D740B"/>
    <w:rsid w:val="004E30AE"/>
    <w:rsid w:val="00504DF2"/>
    <w:rsid w:val="00533C93"/>
    <w:rsid w:val="005945AC"/>
    <w:rsid w:val="005A2BF8"/>
    <w:rsid w:val="005C2158"/>
    <w:rsid w:val="00692280"/>
    <w:rsid w:val="006C0074"/>
    <w:rsid w:val="006C57C3"/>
    <w:rsid w:val="00703ED6"/>
    <w:rsid w:val="007454AE"/>
    <w:rsid w:val="00794287"/>
    <w:rsid w:val="007B0F61"/>
    <w:rsid w:val="007B0FA0"/>
    <w:rsid w:val="007C1D17"/>
    <w:rsid w:val="00863C6D"/>
    <w:rsid w:val="008901B6"/>
    <w:rsid w:val="008B6637"/>
    <w:rsid w:val="008C0F70"/>
    <w:rsid w:val="008C7D7A"/>
    <w:rsid w:val="008E238F"/>
    <w:rsid w:val="009260E0"/>
    <w:rsid w:val="009911B9"/>
    <w:rsid w:val="00A356F8"/>
    <w:rsid w:val="00A4296C"/>
    <w:rsid w:val="00A97075"/>
    <w:rsid w:val="00AF5927"/>
    <w:rsid w:val="00B02E43"/>
    <w:rsid w:val="00B33368"/>
    <w:rsid w:val="00B46E7A"/>
    <w:rsid w:val="00BA5D03"/>
    <w:rsid w:val="00BC1F31"/>
    <w:rsid w:val="00BD66A7"/>
    <w:rsid w:val="00BE4C01"/>
    <w:rsid w:val="00C207D2"/>
    <w:rsid w:val="00C21A39"/>
    <w:rsid w:val="00CA7F9D"/>
    <w:rsid w:val="00D03018"/>
    <w:rsid w:val="00D0366D"/>
    <w:rsid w:val="00D04028"/>
    <w:rsid w:val="00D93512"/>
    <w:rsid w:val="00DD48DD"/>
    <w:rsid w:val="00E9516A"/>
    <w:rsid w:val="00EF6DBB"/>
    <w:rsid w:val="00F10BC1"/>
    <w:rsid w:val="00F65F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BD4"/>
  <w15:chartTrackingRefBased/>
  <w15:docId w15:val="{5B722B26-DC46-4DCD-8CA4-7CD3527A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01"/>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E4C01"/>
    <w:pPr>
      <w:ind w:left="720"/>
      <w:contextualSpacing/>
    </w:pPr>
  </w:style>
  <w:style w:type="character" w:styleId="Hyperlink">
    <w:name w:val="Hyperlink"/>
    <w:basedOn w:val="Standardskrifttypeiafsnit"/>
    <w:uiPriority w:val="99"/>
    <w:unhideWhenUsed/>
    <w:rsid w:val="00BE4C01"/>
    <w:rPr>
      <w:color w:val="0563C1" w:themeColor="hyperlink"/>
      <w:u w:val="single"/>
    </w:rPr>
  </w:style>
  <w:style w:type="character" w:styleId="Ulstomtale">
    <w:name w:val="Unresolved Mention"/>
    <w:basedOn w:val="Standardskrifttypeiafsnit"/>
    <w:uiPriority w:val="99"/>
    <w:semiHidden/>
    <w:unhideWhenUsed/>
    <w:rsid w:val="00BE4C01"/>
    <w:rPr>
      <w:color w:val="605E5C"/>
      <w:shd w:val="clear" w:color="auto" w:fill="E1DFDD"/>
    </w:rPr>
  </w:style>
  <w:style w:type="character" w:styleId="BesgtLink">
    <w:name w:val="FollowedHyperlink"/>
    <w:basedOn w:val="Standardskrifttypeiafsnit"/>
    <w:uiPriority w:val="99"/>
    <w:semiHidden/>
    <w:unhideWhenUsed/>
    <w:rsid w:val="00D036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regdel/"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lex.europa.eu/legal-content/DA/TXT/?uri=OJ:L_202500532" TargetMode="External"/><Relationship Id="rId17" Type="http://schemas.openxmlformats.org/officeDocument/2006/relationships/hyperlink" Target="https://www.esma.europa.eu/press-news/esma-news/esma-prepares-switch-toward-single-volume-cap-october-2025" TargetMode="External"/><Relationship Id="rId2" Type="http://schemas.openxmlformats.org/officeDocument/2006/relationships/customXml" Target="../customXml/item2.xml"/><Relationship Id="rId16" Type="http://schemas.openxmlformats.org/officeDocument/2006/relationships/hyperlink" Target="https://www.esma.europa.eu/press-news/esma-news/esma-promotes-clarity-sustainability-related-communication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anstilsynet.dk/nyheder-og-presse/nyheder-og-pressemeddelelser/2025/jul/udbydere-af-finansielle-produkter-opgoer-baeredygtighed-forskelligt" TargetMode="External"/><Relationship Id="rId5" Type="http://schemas.openxmlformats.org/officeDocument/2006/relationships/numbering" Target="numbering.xml"/><Relationship Id="rId15" Type="http://schemas.openxmlformats.org/officeDocument/2006/relationships/hyperlink" Target="https://eur-lex.europa.eu/legal-content/DA/TXT/?uri=CELEX%3A32025R1184" TargetMode="External"/><Relationship Id="rId10" Type="http://schemas.openxmlformats.org/officeDocument/2006/relationships/hyperlink" Target="https://www.retsinformation.dk/eli/lta/2025/987" TargetMode="External"/><Relationship Id="rId19" Type="http://schemas.openxmlformats.org/officeDocument/2006/relationships/hyperlink" Target="mailto:cas@equitylaw.dk" TargetMode="External"/><Relationship Id="rId4" Type="http://schemas.openxmlformats.org/officeDocument/2006/relationships/customXml" Target="../customXml/item4.xml"/><Relationship Id="rId9" Type="http://schemas.openxmlformats.org/officeDocument/2006/relationships/hyperlink" Target="https://www.retsinformation.dk/eli/lta/2025/971" TargetMode="External"/><Relationship Id="rId14" Type="http://schemas.openxmlformats.org/officeDocument/2006/relationships/hyperlink" Target="https://eur-lex.europa.eu/legal-content/DA/TXT/?uri=CELEX%3A32025R1339"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7d2aa7-4697-4679-89a8-f7ed825373f6" xsi:nil="true"/>
    <lcf76f155ced4ddcb4097134ff3c332f xmlns="e1ad0fee-deb7-4d11-8342-64349c8749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E167DF4E06F5744B57C6F8BE5F564CB" ma:contentTypeVersion="20" ma:contentTypeDescription="Opret et nyt dokument." ma:contentTypeScope="" ma:versionID="4c9fdd3f57380a66db669e25b35dd481">
  <xsd:schema xmlns:xsd="http://www.w3.org/2001/XMLSchema" xmlns:xs="http://www.w3.org/2001/XMLSchema" xmlns:p="http://schemas.microsoft.com/office/2006/metadata/properties" xmlns:ns2="e1ad0fee-deb7-4d11-8342-64349c8749bc" xmlns:ns3="547d2aa7-4697-4679-89a8-f7ed825373f6" targetNamespace="http://schemas.microsoft.com/office/2006/metadata/properties" ma:root="true" ma:fieldsID="0701e95dae96647187809806b243026f" ns2:_="" ns3:_="">
    <xsd:import namespace="e1ad0fee-deb7-4d11-8342-64349c8749bc"/>
    <xsd:import namespace="547d2aa7-4697-4679-89a8-f7ed825373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d0fee-deb7-4d11-8342-64349c874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d399327e-dec2-4cfd-b9e4-ed826a3a2e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d2aa7-4697-4679-89a8-f7ed825373f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8547f4b9-575f-4bb9-9f4d-53a5a71db9dd}" ma:internalName="TaxCatchAll" ma:showField="CatchAllData" ma:web="547d2aa7-4697-4679-89a8-f7ed82537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4AD3D-F638-4681-B165-D4FC1736A764}">
  <ds:schemaRefs>
    <ds:schemaRef ds:uri="http://schemas.microsoft.com/sharepoint/v3/contenttype/forms"/>
  </ds:schemaRefs>
</ds:datastoreItem>
</file>

<file path=customXml/itemProps2.xml><?xml version="1.0" encoding="utf-8"?>
<ds:datastoreItem xmlns:ds="http://schemas.openxmlformats.org/officeDocument/2006/customXml" ds:itemID="{50AAF082-B58A-4F52-A56E-EC4AEF91AEFB}">
  <ds:schemaRefs>
    <ds:schemaRef ds:uri="http://schemas.microsoft.com/office/2006/metadata/properties"/>
    <ds:schemaRef ds:uri="http://schemas.microsoft.com/office/infopath/2007/PartnerControls"/>
    <ds:schemaRef ds:uri="547d2aa7-4697-4679-89a8-f7ed825373f6"/>
    <ds:schemaRef ds:uri="e1ad0fee-deb7-4d11-8342-64349c8749bc"/>
  </ds:schemaRefs>
</ds:datastoreItem>
</file>

<file path=customXml/itemProps3.xml><?xml version="1.0" encoding="utf-8"?>
<ds:datastoreItem xmlns:ds="http://schemas.openxmlformats.org/officeDocument/2006/customXml" ds:itemID="{B1DFC98C-0845-4A94-8D81-1ABEEB67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d0fee-deb7-4d11-8342-64349c8749bc"/>
    <ds:schemaRef ds:uri="547d2aa7-4697-4679-89a8-f7ed82537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EFFF5A-0EE5-436D-A715-0D21CA4AF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1085</Words>
  <Characters>6619</Characters>
  <Application>Microsoft Office Word</Application>
  <DocSecurity>0</DocSecurity>
  <Lines>55</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Søborg</dc:creator>
  <cp:keywords/>
  <dc:description/>
  <cp:lastModifiedBy>Camilla Søborg</cp:lastModifiedBy>
  <cp:revision>41</cp:revision>
  <dcterms:created xsi:type="dcterms:W3CDTF">2025-07-08T11:16:00Z</dcterms:created>
  <dcterms:modified xsi:type="dcterms:W3CDTF">2025-08-04T07:01:00Z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0x0101003E167DF4E06F5744B57C6F8BE5F564CB</vt:lpwstr>
  </property>
  <property fmtid="{D5CDD505-2E9C-101B-9397-08002B2CF9AE}" pid="3" name="MediaServiceImageTags">
    <vt:lpwstr/>
  </property>
</Properties>
</file>