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41281C0C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6707FA">
        <w:t>august</w:t>
      </w:r>
      <w:r w:rsidRPr="005A5267">
        <w:t xml:space="preserve"> </w:t>
      </w:r>
      <w:r>
        <w:t xml:space="preserve">måned </w:t>
      </w:r>
      <w:r w:rsidRPr="005A5267">
        <w:t>202</w:t>
      </w:r>
      <w:r w:rsidR="004044A5">
        <w:t>5</w:t>
      </w:r>
    </w:p>
    <w:p w14:paraId="4FC69AF0" w14:textId="77777777" w:rsidR="00DD48DD" w:rsidRDefault="00DD48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3325755F" w14:textId="77777777" w:rsidR="00BE4C01" w:rsidRDefault="00BE4C01"/>
          <w:p w14:paraId="0FFA17AB" w14:textId="0502FFD0" w:rsidR="00182B69" w:rsidRDefault="00436896">
            <w:r>
              <w:t xml:space="preserve">Opdateret vejledning </w:t>
            </w:r>
            <w:r w:rsidR="00714846">
              <w:t>om</w:t>
            </w:r>
            <w:r>
              <w:t xml:space="preserve"> MAR: </w:t>
            </w:r>
            <w:hyperlink w:anchor="A" w:history="1">
              <w:r w:rsidRPr="00436896">
                <w:rPr>
                  <w:rStyle w:val="Hyperlink"/>
                </w:rPr>
                <w:t>link</w:t>
              </w:r>
            </w:hyperlink>
          </w:p>
          <w:p w14:paraId="308242F5" w14:textId="77777777" w:rsidR="00436896" w:rsidRDefault="00436896"/>
          <w:p w14:paraId="525582C4" w14:textId="0A03DF9B" w:rsidR="00436896" w:rsidRDefault="00E20017">
            <w:r>
              <w:t xml:space="preserve">Ny vejledning om risikovurdering af foreninger: </w:t>
            </w:r>
            <w:hyperlink w:anchor="B" w:history="1">
              <w:r w:rsidRPr="00E20017">
                <w:rPr>
                  <w:rStyle w:val="Hyperlink"/>
                </w:rPr>
                <w:t>link</w:t>
              </w:r>
            </w:hyperlink>
          </w:p>
          <w:p w14:paraId="15EE69E5" w14:textId="77777777" w:rsidR="00E20017" w:rsidRDefault="00E20017"/>
          <w:p w14:paraId="08E73287" w14:textId="19F30D5F" w:rsidR="00E20017" w:rsidRDefault="001A7CEC">
            <w:r>
              <w:t xml:space="preserve">Henstilling om bæredygtighedsrapportering for SMV’er: </w:t>
            </w:r>
            <w:hyperlink w:anchor="C" w:history="1">
              <w:r w:rsidR="00EE5A1D" w:rsidRPr="00EE5A1D">
                <w:rPr>
                  <w:rStyle w:val="Hyperlink"/>
                </w:rPr>
                <w:t>link</w:t>
              </w:r>
            </w:hyperlink>
          </w:p>
          <w:p w14:paraId="774E809C" w14:textId="77777777" w:rsidR="00182B69" w:rsidRDefault="00182B69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68520B0E" w14:textId="77777777" w:rsidR="00BE4C01" w:rsidRDefault="00BE4C01"/>
          <w:p w14:paraId="3C1A9720" w14:textId="77777777" w:rsidR="00C40080" w:rsidRDefault="00C40080" w:rsidP="00C40080">
            <w:r>
              <w:t>(intet nyt)</w:t>
            </w:r>
          </w:p>
          <w:p w14:paraId="1136A53C" w14:textId="77777777" w:rsidR="00C40080" w:rsidRDefault="00C40080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101A1E0B" w14:textId="77777777" w:rsidR="00BE4C01" w:rsidRDefault="00BE4C01"/>
          <w:p w14:paraId="41F84E74" w14:textId="77777777" w:rsidR="00135036" w:rsidRPr="00FC578C" w:rsidRDefault="00135036" w:rsidP="00135036">
            <w:pPr>
              <w:jc w:val="both"/>
              <w:rPr>
                <w:b/>
                <w:bCs/>
              </w:rPr>
            </w:pPr>
            <w:bookmarkStart w:id="0" w:name="A"/>
            <w:r w:rsidRPr="00FC578C">
              <w:rPr>
                <w:b/>
                <w:bCs/>
              </w:rPr>
              <w:t>Vejledning nr. 9792 af 15. august 2025 om udførelse af kundeordrer og indberetning heraf i medfør af markedsmisbrugsforordningen</w:t>
            </w:r>
          </w:p>
          <w:bookmarkEnd w:id="0"/>
          <w:p w14:paraId="523F5A12" w14:textId="77777777" w:rsidR="00135036" w:rsidRDefault="00135036" w:rsidP="00135036">
            <w:pPr>
              <w:jc w:val="both"/>
            </w:pPr>
          </w:p>
          <w:p w14:paraId="6DE68A56" w14:textId="5FF0AAE3" w:rsidR="00135036" w:rsidRDefault="00F211C3" w:rsidP="00135036">
            <w:pPr>
              <w:jc w:val="both"/>
            </w:pPr>
            <w:r>
              <w:t>V</w:t>
            </w:r>
            <w:r w:rsidR="00135036">
              <w:t xml:space="preserve">ejledningen </w:t>
            </w:r>
            <w:r>
              <w:t>omhandler</w:t>
            </w:r>
            <w:r w:rsidR="00135036">
              <w:t xml:space="preserve"> Finanstilsynets vurdering af </w:t>
            </w:r>
            <w:r w:rsidR="002B66BB">
              <w:t>(i)</w:t>
            </w:r>
            <w:r w:rsidR="00135036">
              <w:t xml:space="preserve"> hvornår værdipapirhandleres ansatte bør afstå fra at udføre en mistænkelig kundeordre, </w:t>
            </w:r>
            <w:r w:rsidR="00E875B3">
              <w:t>når</w:t>
            </w:r>
            <w:r w:rsidR="00135036">
              <w:t xml:space="preserve"> det ikke kan udelukkes, at værdipapirhandleren og/eller evt. dennes ansatte kan blive ansvarlige for medvirken til insiderhandel eller markedsmanipulation,</w:t>
            </w:r>
            <w:r w:rsidR="005C7E4F">
              <w:t xml:space="preserve"> og</w:t>
            </w:r>
            <w:r w:rsidR="00135036">
              <w:t xml:space="preserve"> </w:t>
            </w:r>
            <w:r w:rsidR="002B66BB">
              <w:t>(ii)</w:t>
            </w:r>
            <w:r w:rsidR="00135036">
              <w:t xml:space="preserve"> hvornår værdipapirhandlere og disses ansatte er forpligtede til at underrette Finanstilsynet om mistænkelige kundeordrer.</w:t>
            </w:r>
          </w:p>
          <w:p w14:paraId="4B4AB6D0" w14:textId="77777777" w:rsidR="005C7E4F" w:rsidRDefault="005C7E4F" w:rsidP="00135036">
            <w:pPr>
              <w:jc w:val="both"/>
            </w:pPr>
          </w:p>
          <w:p w14:paraId="4055E90C" w14:textId="636F559B" w:rsidR="00135036" w:rsidRPr="00952C6E" w:rsidRDefault="00135036" w:rsidP="00135036">
            <w:pPr>
              <w:jc w:val="both"/>
            </w:pPr>
            <w:r>
              <w:t xml:space="preserve">Vejledningen erstatter vejledning </w:t>
            </w:r>
            <w:r w:rsidRPr="00952C6E">
              <w:t>nr</w:t>
            </w:r>
            <w:r>
              <w:t>.</w:t>
            </w:r>
            <w:r w:rsidRPr="00952C6E">
              <w:t xml:space="preserve"> 9727 af 14</w:t>
            </w:r>
            <w:r>
              <w:t xml:space="preserve">. august </w:t>
            </w:r>
            <w:r w:rsidRPr="00952C6E">
              <w:t>2019</w:t>
            </w:r>
            <w:r>
              <w:t>.</w:t>
            </w:r>
          </w:p>
          <w:p w14:paraId="287FCDE4" w14:textId="77777777" w:rsidR="00135036" w:rsidRDefault="00135036" w:rsidP="00135036">
            <w:pPr>
              <w:jc w:val="both"/>
            </w:pPr>
          </w:p>
          <w:p w14:paraId="3ADA491A" w14:textId="0D845364" w:rsidR="00135036" w:rsidRDefault="00135036" w:rsidP="00135036">
            <w:pPr>
              <w:jc w:val="both"/>
            </w:pPr>
            <w:r>
              <w:t xml:space="preserve">(Offentliggjort den 16. august 2025, </w:t>
            </w:r>
            <w:hyperlink r:id="rId9" w:history="1">
              <w:r w:rsidRPr="00C660BA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5E24B9C9" w14:textId="77777777" w:rsidR="00135036" w:rsidRDefault="00135036"/>
          <w:p w14:paraId="6843A2AA" w14:textId="77777777" w:rsidR="00C40080" w:rsidRDefault="00C40080"/>
          <w:p w14:paraId="2979C4C1" w14:textId="77777777" w:rsidR="00AE18E5" w:rsidRPr="00727C90" w:rsidRDefault="00AE18E5" w:rsidP="00AE18E5">
            <w:pPr>
              <w:jc w:val="both"/>
              <w:rPr>
                <w:b/>
                <w:bCs/>
              </w:rPr>
            </w:pPr>
            <w:bookmarkStart w:id="1" w:name="B"/>
            <w:r w:rsidRPr="00727C90">
              <w:rPr>
                <w:b/>
                <w:bCs/>
              </w:rPr>
              <w:t>Vejledning nr. 9875 af 28. august 2025 om risikovurdering af foreninger</w:t>
            </w:r>
          </w:p>
          <w:bookmarkEnd w:id="1"/>
          <w:p w14:paraId="1A1E4E6F" w14:textId="77777777" w:rsidR="008C33C4" w:rsidRDefault="008C33C4" w:rsidP="00AE18E5"/>
          <w:p w14:paraId="3F7DF562" w14:textId="1ACBDE5D" w:rsidR="00AE18E5" w:rsidRDefault="00AE18E5" w:rsidP="00AE18E5">
            <w:pPr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</w:pPr>
            <w:r>
              <w:t>V</w:t>
            </w:r>
            <w:r w:rsidRPr="00582C15">
              <w:t>ejledning</w:t>
            </w:r>
            <w:r>
              <w:t>en</w:t>
            </w:r>
            <w:r w:rsidRPr="00582C15">
              <w:t xml:space="preserve"> har til formål at vejlede virksomheder og personer omfattet af hvidvaskloven</w:t>
            </w:r>
            <w:r>
              <w:t xml:space="preserve"> om </w:t>
            </w:r>
            <w:r w:rsidRPr="00582C15">
              <w:t>risikovurder</w:t>
            </w:r>
            <w:r>
              <w:t>ing af</w:t>
            </w:r>
            <w:r w:rsidRPr="00582C15">
              <w:t xml:space="preserve"> foreninger i forbindelse med gennemførelse af kundekendskabsprocedurer. Formålet med vejledningen er, at virksomhederne skal kunne gennemføre kundekendskabsprocedurer, som svarer til foreningernes reelle risikoprofil, og dermed undgå at indhente flere oplysninger end nødvendigt.</w:t>
            </w:r>
            <w:r w:rsidRPr="00010998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eastAsia="da-DK"/>
              </w:rPr>
              <w:t xml:space="preserve"> </w:t>
            </w:r>
          </w:p>
          <w:p w14:paraId="02560FF2" w14:textId="77777777" w:rsidR="00F401FA" w:rsidRDefault="00F401FA" w:rsidP="00AE18E5">
            <w:pPr>
              <w:spacing w:after="160" w:line="259" w:lineRule="auto"/>
            </w:pPr>
          </w:p>
          <w:p w14:paraId="5E3B7F33" w14:textId="31D63904" w:rsidR="00AE18E5" w:rsidRPr="00010998" w:rsidRDefault="00AE18E5" w:rsidP="00AE18E5">
            <w:pPr>
              <w:spacing w:after="160" w:line="259" w:lineRule="auto"/>
            </w:pPr>
            <w:r w:rsidRPr="00010998">
              <w:t xml:space="preserve">Vejledningen indeholder </w:t>
            </w:r>
            <w:r>
              <w:t xml:space="preserve">bl.a. </w:t>
            </w:r>
            <w:r w:rsidRPr="00010998">
              <w:t>en række karakteristika, der skal hjælpe med at risikoklassificere et kundeforhold med en forening</w:t>
            </w:r>
            <w:r>
              <w:t xml:space="preserve">, samt </w:t>
            </w:r>
            <w:r w:rsidRPr="00010998">
              <w:t>eksempler på, hvilke kundekendskabsprocedurer virksomhederne kan gennemføre, når en forening har lav, mellem eller høj risiko.</w:t>
            </w:r>
          </w:p>
          <w:p w14:paraId="2B8BB620" w14:textId="77777777" w:rsidR="00AE18E5" w:rsidRDefault="00AE18E5" w:rsidP="00AE18E5">
            <w:pPr>
              <w:jc w:val="both"/>
            </w:pPr>
            <w:r>
              <w:t xml:space="preserve">(Offentliggjort den 30. august 2025, </w:t>
            </w:r>
            <w:hyperlink r:id="rId10" w:history="1">
              <w:r w:rsidRPr="00336636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75A80BCB" w14:textId="77777777" w:rsidR="00DD57E0" w:rsidRDefault="00DD57E0" w:rsidP="00AE18E5">
            <w:pPr>
              <w:jc w:val="both"/>
            </w:pPr>
          </w:p>
          <w:p w14:paraId="2BE89B52" w14:textId="77777777" w:rsidR="00135036" w:rsidRDefault="00135036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3351414C" w14:textId="77777777" w:rsidR="00BE4C01" w:rsidRDefault="00BE4C01"/>
          <w:p w14:paraId="52110777" w14:textId="7BA81068" w:rsidR="00D35F7F" w:rsidRDefault="00D35F7F">
            <w:pPr>
              <w:rPr>
                <w:b/>
                <w:bCs/>
              </w:rPr>
            </w:pPr>
            <w:bookmarkStart w:id="2" w:name="C"/>
            <w:r w:rsidRPr="00D35F7F">
              <w:rPr>
                <w:b/>
                <w:bCs/>
              </w:rPr>
              <w:t>Kommissionens henstilling (EU) 2025/1710 af 30. juli 2025 om en frivillig standard for bæredygtighedsrapportering for små og mellemstore virksomheder</w:t>
            </w:r>
          </w:p>
          <w:bookmarkEnd w:id="2"/>
          <w:p w14:paraId="673CC3BB" w14:textId="77777777" w:rsidR="00D35F7F" w:rsidRDefault="00D35F7F"/>
          <w:p w14:paraId="45E584D9" w14:textId="15F8B3CA" w:rsidR="00EF778D" w:rsidRPr="0030170E" w:rsidRDefault="00EF778D" w:rsidP="00EF778D">
            <w:pPr>
              <w:jc w:val="both"/>
            </w:pPr>
            <w:r w:rsidRPr="0030170E">
              <w:t xml:space="preserve">Kommissionen har vedtaget en henstilling om frivillig bæredygtighedsrapportering for SMV'er. Henstillingen indeholder en standard, der gør det lettere for SMV'er, der ikke er omfattet af direktivet om virksomheders bæredygtighedsrapportering, at </w:t>
            </w:r>
            <w:r w:rsidR="00DD66FF">
              <w:t>svare</w:t>
            </w:r>
            <w:r w:rsidRPr="0030170E">
              <w:t xml:space="preserve"> på specifikke anmodninger om bæredygtighedsoplysninger fra store finansielle </w:t>
            </w:r>
            <w:r w:rsidR="00DD66FF">
              <w:t>institutter</w:t>
            </w:r>
            <w:r w:rsidRPr="0030170E">
              <w:t xml:space="preserve"> og virksomheder.</w:t>
            </w:r>
          </w:p>
          <w:p w14:paraId="11265692" w14:textId="77777777" w:rsidR="00EF778D" w:rsidRPr="0030170E" w:rsidRDefault="00EF778D" w:rsidP="00EF778D">
            <w:pPr>
              <w:jc w:val="both"/>
            </w:pPr>
            <w:r w:rsidRPr="0030170E">
              <w:t xml:space="preserve">Kommissionen opfordrer store virksomheder og finansielle </w:t>
            </w:r>
            <w:r>
              <w:t>enheder</w:t>
            </w:r>
            <w:r w:rsidRPr="0030170E">
              <w:t xml:space="preserve">, der søger bæredygtighedsoplysninger fra SMV'er, til så vidt muligt at basere deres anmodninger på den frivillige standard. </w:t>
            </w:r>
            <w:r>
              <w:t xml:space="preserve">Herunder indeholder henstillingen et afsnit med anbefalinger </w:t>
            </w:r>
            <w:r w:rsidRPr="005F5F2B">
              <w:t xml:space="preserve">finansielle </w:t>
            </w:r>
            <w:r>
              <w:t>institutter</w:t>
            </w:r>
            <w:r w:rsidRPr="005F5F2B">
              <w:t>, deltagere på det finansielle marked, forsikringsselskaber</w:t>
            </w:r>
            <w:r>
              <w:t xml:space="preserve"> og</w:t>
            </w:r>
            <w:r w:rsidRPr="005F5F2B">
              <w:t xml:space="preserve"> kreditinstitutter</w:t>
            </w:r>
            <w:r>
              <w:t>.</w:t>
            </w:r>
          </w:p>
          <w:p w14:paraId="1D1EE936" w14:textId="77777777" w:rsidR="00EF778D" w:rsidRDefault="00EF778D"/>
          <w:p w14:paraId="7EA3EAEA" w14:textId="6AF30F69" w:rsidR="005C3452" w:rsidRDefault="005C3452">
            <w:r>
              <w:t xml:space="preserve">(Offentliggjort den </w:t>
            </w:r>
            <w:r w:rsidR="008F5A1B">
              <w:t xml:space="preserve">5. august 2025, </w:t>
            </w:r>
            <w:hyperlink r:id="rId11" w:history="1">
              <w:r w:rsidR="008F5A1B" w:rsidRPr="008F5A1B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010E559B" w14:textId="77777777" w:rsidR="00D35F7F" w:rsidRDefault="00D35F7F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21DA5000" w14:textId="77777777" w:rsidR="00BE4C01" w:rsidRDefault="00BE4C01"/>
          <w:p w14:paraId="44CF3996" w14:textId="3087CB45" w:rsidR="00182B69" w:rsidRDefault="00182B69">
            <w:r>
              <w:t>(Intet nyt)</w:t>
            </w:r>
          </w:p>
          <w:p w14:paraId="570C0B58" w14:textId="77777777" w:rsidR="00182B69" w:rsidRDefault="00182B69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50B5BD11" w14:textId="77777777" w:rsidR="00BE4C01" w:rsidRDefault="00BE4C01"/>
          <w:p w14:paraId="29E56127" w14:textId="77777777" w:rsidR="00C40080" w:rsidRDefault="00C40080" w:rsidP="00C40080">
            <w:r>
              <w:t>(intet nyt)</w:t>
            </w:r>
          </w:p>
          <w:p w14:paraId="5E1E2D1B" w14:textId="77777777" w:rsidR="00C40080" w:rsidRDefault="00C40080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377EA371" w14:textId="77777777" w:rsidR="00BE4C01" w:rsidRDefault="00BE4C01"/>
          <w:p w14:paraId="535BAEF4" w14:textId="77777777" w:rsidR="00C40080" w:rsidRDefault="00C40080" w:rsidP="00C40080">
            <w:r>
              <w:t>(intet nyt)</w:t>
            </w:r>
          </w:p>
          <w:p w14:paraId="29E632A3" w14:textId="77777777" w:rsidR="00C40080" w:rsidRDefault="00C40080"/>
        </w:tc>
      </w:tr>
    </w:tbl>
    <w:p w14:paraId="329D25E6" w14:textId="77777777" w:rsidR="00BE4C01" w:rsidRDefault="00BE4C01"/>
    <w:p w14:paraId="6BBF4DE2" w14:textId="77777777" w:rsidR="00BE4C01" w:rsidRPr="00BE4C01" w:rsidRDefault="00BE4C01" w:rsidP="00BE4C01"/>
    <w:p w14:paraId="251BD954" w14:textId="54A22563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</w:t>
      </w:r>
      <w:r w:rsidR="001928E1">
        <w:rPr>
          <w:i/>
          <w:iCs/>
        </w:rPr>
        <w:t>Equity Law Advokatanpartsselskab</w:t>
      </w:r>
      <w:r w:rsidRPr="00BE4C01">
        <w:rPr>
          <w:i/>
          <w:iCs/>
        </w:rPr>
        <w:t xml:space="preserve"> ud fra regulering, der retter sig direkte til fondsmæglerselskaber og deres holdingvirksomheder. Oversigten er en informationstjeneste og udgør ikke juridisk rådgivning, og </w:t>
      </w:r>
      <w:r w:rsidR="000A03EB">
        <w:rPr>
          <w:i/>
          <w:iCs/>
        </w:rPr>
        <w:t>Equity Law Advokatanpartsselskab</w:t>
      </w:r>
      <w:r w:rsidRPr="00BE4C01">
        <w:rPr>
          <w:i/>
          <w:iCs/>
        </w:rPr>
        <w:t xml:space="preserve">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Camilla Søborg, </w:t>
      </w:r>
      <w:hyperlink r:id="rId13" w:history="1">
        <w:r w:rsidR="000A03EB" w:rsidRPr="00401311">
          <w:rPr>
            <w:rStyle w:val="Hyperlink"/>
            <w:i/>
            <w:iCs/>
          </w:rPr>
          <w:t>cas@equitylaw.dk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CDA41" w14:textId="18DCFD63" w:rsidR="00BE4C01" w:rsidRDefault="00A356F8">
      <w:r>
        <w:t>Equity Law Advokatanpartsselskab</w:t>
      </w:r>
      <w:r w:rsidR="00BE4C01" w:rsidRPr="00BE4C01">
        <w:t>,</w:t>
      </w:r>
      <w:r w:rsidR="00BE4C01" w:rsidRPr="00BE4C01">
        <w:rPr>
          <w:b/>
          <w:bCs/>
        </w:rPr>
        <w:t xml:space="preserve"> </w:t>
      </w:r>
      <w:r w:rsidR="00BE4C01" w:rsidRPr="00BE4C01">
        <w:t xml:space="preserve">CVR-nr. </w:t>
      </w:r>
      <w:r w:rsidR="000D0984" w:rsidRPr="000D0984">
        <w:t>42512273</w:t>
      </w:r>
      <w:r w:rsidR="00BE4C01" w:rsidRPr="00BE4C01">
        <w:t xml:space="preserve">, </w:t>
      </w:r>
      <w:r w:rsidR="000D0984">
        <w:t>Strandvejen 60</w:t>
      </w:r>
      <w:r w:rsidR="00BE4C01" w:rsidRPr="00BE4C01">
        <w:t>, DK-2900 Hellerup</w:t>
      </w:r>
    </w:p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A03EB"/>
    <w:rsid w:val="000D0984"/>
    <w:rsid w:val="001163B2"/>
    <w:rsid w:val="00135036"/>
    <w:rsid w:val="001353F5"/>
    <w:rsid w:val="00136D9B"/>
    <w:rsid w:val="00182B69"/>
    <w:rsid w:val="001928E1"/>
    <w:rsid w:val="001A7CEC"/>
    <w:rsid w:val="001D2801"/>
    <w:rsid w:val="00265438"/>
    <w:rsid w:val="00282F58"/>
    <w:rsid w:val="002B66BB"/>
    <w:rsid w:val="002B6B87"/>
    <w:rsid w:val="00305150"/>
    <w:rsid w:val="00344CB3"/>
    <w:rsid w:val="003B7D51"/>
    <w:rsid w:val="004044A5"/>
    <w:rsid w:val="00427ED3"/>
    <w:rsid w:val="00436896"/>
    <w:rsid w:val="0045749D"/>
    <w:rsid w:val="004D740B"/>
    <w:rsid w:val="00533C93"/>
    <w:rsid w:val="005945AC"/>
    <w:rsid w:val="005C2158"/>
    <w:rsid w:val="005C3452"/>
    <w:rsid w:val="005C7E4F"/>
    <w:rsid w:val="00640CE3"/>
    <w:rsid w:val="006707FA"/>
    <w:rsid w:val="006A7FFD"/>
    <w:rsid w:val="006C0074"/>
    <w:rsid w:val="006C57C3"/>
    <w:rsid w:val="00714846"/>
    <w:rsid w:val="0088251E"/>
    <w:rsid w:val="008901B6"/>
    <w:rsid w:val="008C33C4"/>
    <w:rsid w:val="008F5A1B"/>
    <w:rsid w:val="009911B9"/>
    <w:rsid w:val="00A356F8"/>
    <w:rsid w:val="00A97075"/>
    <w:rsid w:val="00AE18E5"/>
    <w:rsid w:val="00B02E43"/>
    <w:rsid w:val="00B70133"/>
    <w:rsid w:val="00BA5D03"/>
    <w:rsid w:val="00BC1F31"/>
    <w:rsid w:val="00BE4C01"/>
    <w:rsid w:val="00BE6966"/>
    <w:rsid w:val="00C21A39"/>
    <w:rsid w:val="00C40080"/>
    <w:rsid w:val="00D35F7F"/>
    <w:rsid w:val="00DD48DD"/>
    <w:rsid w:val="00DD57E0"/>
    <w:rsid w:val="00DD66FF"/>
    <w:rsid w:val="00E20017"/>
    <w:rsid w:val="00E875B3"/>
    <w:rsid w:val="00EE5A1D"/>
    <w:rsid w:val="00EF778D"/>
    <w:rsid w:val="00F10BC1"/>
    <w:rsid w:val="00F211C3"/>
    <w:rsid w:val="00F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s@equitylaw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DA/TXT/?uri=OJ:L_2025017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retsinfo/2025/987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tsinformation.dk/eli/retsinfo/2025/9792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4.xml><?xml version="1.0" encoding="utf-8"?>
<ds:datastoreItem xmlns:ds="http://schemas.openxmlformats.org/officeDocument/2006/customXml" ds:itemID="{65786C7F-D063-47B4-9C23-17E4E17C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523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28</cp:revision>
  <dcterms:created xsi:type="dcterms:W3CDTF">2025-08-11T07:19:00Z</dcterms:created>
  <dcterms:modified xsi:type="dcterms:W3CDTF">2025-09-01T09:45:00Z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