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30835" w14:textId="77777777" w:rsidR="00BE4C01" w:rsidRPr="008A1C76" w:rsidRDefault="00BE4C01" w:rsidP="00BE4C01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8A1C76">
        <w:rPr>
          <w:sz w:val="28"/>
          <w:szCs w:val="28"/>
        </w:rPr>
        <w:t>y finansiel regulering</w:t>
      </w:r>
      <w:r>
        <w:rPr>
          <w:sz w:val="28"/>
          <w:szCs w:val="28"/>
        </w:rPr>
        <w:t xml:space="preserve"> for fondsmæglerselskaber</w:t>
      </w:r>
      <w:r w:rsidRPr="008A1C76">
        <w:rPr>
          <w:sz w:val="28"/>
          <w:szCs w:val="28"/>
        </w:rPr>
        <w:t xml:space="preserve"> </w:t>
      </w:r>
    </w:p>
    <w:p w14:paraId="300EB7E4" w14:textId="04C2BFD0" w:rsidR="00BE4C01" w:rsidRDefault="00BE4C01" w:rsidP="00BE4C01">
      <w:pPr>
        <w:jc w:val="both"/>
      </w:pPr>
      <w:r>
        <w:t>O</w:t>
      </w:r>
      <w:r w:rsidRPr="005A5267">
        <w:t xml:space="preserve">pdatering for </w:t>
      </w:r>
      <w:r w:rsidR="001D34A3">
        <w:t>november</w:t>
      </w:r>
      <w:r w:rsidRPr="005A5267">
        <w:t xml:space="preserve"> </w:t>
      </w:r>
      <w:r>
        <w:t xml:space="preserve">måned </w:t>
      </w:r>
      <w:r w:rsidRPr="005A5267">
        <w:t>202</w:t>
      </w:r>
      <w:r w:rsidR="004044A5">
        <w:t>5</w:t>
      </w:r>
    </w:p>
    <w:p w14:paraId="4FC69AF0" w14:textId="77777777" w:rsidR="00DD48DD" w:rsidRDefault="00DD48D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E4C01" w14:paraId="00166C89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6AB36AD5" w14:textId="79E26B0B" w:rsidR="00BE4C01" w:rsidRPr="005945AC" w:rsidRDefault="005945AC">
            <w:pPr>
              <w:rPr>
                <w:b/>
                <w:bCs/>
              </w:rPr>
            </w:pPr>
            <w:r w:rsidRPr="005945AC">
              <w:rPr>
                <w:b/>
                <w:bCs/>
              </w:rPr>
              <w:t>OVERBLIK</w:t>
            </w:r>
          </w:p>
        </w:tc>
      </w:tr>
      <w:tr w:rsidR="00BE4C01" w14:paraId="19A8CD66" w14:textId="77777777" w:rsidTr="00BE4C01">
        <w:tc>
          <w:tcPr>
            <w:tcW w:w="9628" w:type="dxa"/>
          </w:tcPr>
          <w:p w14:paraId="5899CFBD" w14:textId="77777777" w:rsidR="00BE4C01" w:rsidRDefault="00BE4C01"/>
          <w:p w14:paraId="630107E3" w14:textId="10077E49" w:rsidR="00D33C47" w:rsidRDefault="00D33C47">
            <w:r>
              <w:t>Ændr</w:t>
            </w:r>
            <w:r w:rsidR="00E74C8F">
              <w:t>et</w:t>
            </w:r>
            <w:r>
              <w:t xml:space="preserve"> ikrafttræden af regler om bæredygtighedsrapportering</w:t>
            </w:r>
            <w:r w:rsidR="00887D0C">
              <w:t xml:space="preserve">: </w:t>
            </w:r>
            <w:hyperlink w:anchor="A" w:history="1">
              <w:r w:rsidR="00887D0C" w:rsidRPr="00887D0C">
                <w:rPr>
                  <w:rStyle w:val="Hyperlink"/>
                </w:rPr>
                <w:t>link</w:t>
              </w:r>
            </w:hyperlink>
          </w:p>
          <w:p w14:paraId="2941347D" w14:textId="77777777" w:rsidR="007564C9" w:rsidRDefault="007564C9"/>
          <w:p w14:paraId="32F1C327" w14:textId="5FE0A8CA" w:rsidR="00887D0C" w:rsidRDefault="009C24F4">
            <w:r>
              <w:t xml:space="preserve">Ny vejledning om indberetning af årsrapporter: </w:t>
            </w:r>
            <w:hyperlink w:anchor="B" w:history="1">
              <w:r w:rsidRPr="009C24F4">
                <w:rPr>
                  <w:rStyle w:val="Hyperlink"/>
                </w:rPr>
                <w:t>link</w:t>
              </w:r>
            </w:hyperlink>
          </w:p>
          <w:p w14:paraId="5BBFC7A3" w14:textId="77777777" w:rsidR="009C24F4" w:rsidRDefault="009C24F4"/>
          <w:p w14:paraId="19CCE74F" w14:textId="7C907FE7" w:rsidR="009C24F4" w:rsidRDefault="00146B15">
            <w:r>
              <w:t xml:space="preserve">Ændringer i indberetningsregler under IFR: </w:t>
            </w:r>
            <w:hyperlink w:anchor="C" w:history="1">
              <w:r w:rsidRPr="00146B15">
                <w:rPr>
                  <w:rStyle w:val="Hyperlink"/>
                </w:rPr>
                <w:t>link</w:t>
              </w:r>
            </w:hyperlink>
          </w:p>
          <w:p w14:paraId="4A86E2BC" w14:textId="77777777" w:rsidR="00146B15" w:rsidRDefault="00146B15"/>
          <w:p w14:paraId="44E6E42C" w14:textId="6F5E2871" w:rsidR="00146B15" w:rsidRDefault="00026A88">
            <w:r>
              <w:t xml:space="preserve">Ændrede </w:t>
            </w:r>
            <w:r w:rsidR="005604EB">
              <w:t xml:space="preserve">gennemsigtighedskrav for obligationer, strukturerede finansielle produkter, emissionskvoter og egenkapitalinstrumenter: </w:t>
            </w:r>
            <w:hyperlink w:anchor="E" w:history="1">
              <w:r w:rsidR="005604EB" w:rsidRPr="005604EB">
                <w:rPr>
                  <w:rStyle w:val="Hyperlink"/>
                </w:rPr>
                <w:t>link</w:t>
              </w:r>
            </w:hyperlink>
          </w:p>
          <w:p w14:paraId="3078E64C" w14:textId="77777777" w:rsidR="005604EB" w:rsidRDefault="005604EB"/>
          <w:p w14:paraId="0D594FAE" w14:textId="289D7D40" w:rsidR="00F83FC2" w:rsidRDefault="0090612A">
            <w:r>
              <w:t xml:space="preserve">Ændrede regler for forpligtelsen til at levere markedsdata på rimelige forretningsmæssige vilkår: </w:t>
            </w:r>
            <w:hyperlink w:anchor="F" w:history="1">
              <w:r w:rsidR="001222D0" w:rsidRPr="001222D0">
                <w:rPr>
                  <w:rStyle w:val="Hyperlink"/>
                </w:rPr>
                <w:t>link</w:t>
              </w:r>
            </w:hyperlink>
          </w:p>
          <w:p w14:paraId="774E809C" w14:textId="77777777" w:rsidR="007564C9" w:rsidRDefault="007564C9" w:rsidP="00F50D11"/>
        </w:tc>
      </w:tr>
      <w:tr w:rsidR="00BE4C01" w14:paraId="531CF982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7BDC7261" w14:textId="6D8F2E20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DANSK REGULERING</w:t>
            </w:r>
          </w:p>
        </w:tc>
      </w:tr>
      <w:tr w:rsidR="00BE4C01" w14:paraId="31E09EBE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199CDD40" w14:textId="62239D98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 xml:space="preserve"> Love</w:t>
            </w:r>
          </w:p>
        </w:tc>
      </w:tr>
      <w:tr w:rsidR="00BE4C01" w14:paraId="786DA9D6" w14:textId="77777777" w:rsidTr="00BE4C01">
        <w:tc>
          <w:tcPr>
            <w:tcW w:w="9628" w:type="dxa"/>
          </w:tcPr>
          <w:p w14:paraId="77D0CF0B" w14:textId="77777777" w:rsidR="00BE4C01" w:rsidRDefault="00BE4C01"/>
          <w:p w14:paraId="48BF0C0D" w14:textId="742CC1D2" w:rsidR="007564C9" w:rsidRDefault="007564C9">
            <w:r>
              <w:t>Intet nyt.</w:t>
            </w:r>
          </w:p>
          <w:p w14:paraId="1136A53C" w14:textId="77777777" w:rsidR="007564C9" w:rsidRDefault="007564C9"/>
        </w:tc>
      </w:tr>
      <w:tr w:rsidR="00BE4C01" w14:paraId="46B86ADE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22197C0B" w14:textId="3757CD86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Bekendtgørelse</w:t>
            </w:r>
            <w:r w:rsidR="00136D9B">
              <w:rPr>
                <w:b/>
                <w:bCs/>
              </w:rPr>
              <w:t>r</w:t>
            </w:r>
            <w:r w:rsidRPr="005945AC">
              <w:rPr>
                <w:b/>
                <w:bCs/>
              </w:rPr>
              <w:t xml:space="preserve"> m.v.</w:t>
            </w:r>
          </w:p>
        </w:tc>
      </w:tr>
      <w:tr w:rsidR="00BE4C01" w14:paraId="159B5602" w14:textId="77777777" w:rsidTr="00BE4C01">
        <w:tc>
          <w:tcPr>
            <w:tcW w:w="9628" w:type="dxa"/>
          </w:tcPr>
          <w:p w14:paraId="4A6B0493" w14:textId="77777777" w:rsidR="00BE4C01" w:rsidRDefault="00BE4C01"/>
          <w:p w14:paraId="2E09FD07" w14:textId="77777777" w:rsidR="00DD77AF" w:rsidRPr="00D50CB8" w:rsidRDefault="00DD77AF" w:rsidP="00DD77AF">
            <w:pPr>
              <w:jc w:val="both"/>
              <w:rPr>
                <w:b/>
                <w:bCs/>
              </w:rPr>
            </w:pPr>
            <w:bookmarkStart w:id="0" w:name="A"/>
            <w:r w:rsidRPr="00D50CB8">
              <w:rPr>
                <w:b/>
                <w:bCs/>
              </w:rPr>
              <w:t>Bekendtgørelse nr. 1336 af 20. november 2025 om ændring af bekendtgørelse om finansielle rapporter for kreditinstitutter og fondsmæglerselskaber m.fl.</w:t>
            </w:r>
          </w:p>
          <w:bookmarkEnd w:id="0"/>
          <w:p w14:paraId="779EC1C6" w14:textId="77777777" w:rsidR="00DD77AF" w:rsidRDefault="00DD77AF" w:rsidP="00DD77AF">
            <w:pPr>
              <w:jc w:val="both"/>
            </w:pPr>
          </w:p>
          <w:p w14:paraId="0667AD63" w14:textId="77777777" w:rsidR="00866FCF" w:rsidRDefault="00DD77AF" w:rsidP="00DD77AF">
            <w:pPr>
              <w:jc w:val="both"/>
            </w:pPr>
            <w:r>
              <w:t>Ved bekendtgørelsen ændres ikrafttræden af bestemmelser om bæredygtighedsrapportering</w:t>
            </w:r>
            <w:r w:rsidR="00C54383">
              <w:t xml:space="preserve">. </w:t>
            </w:r>
          </w:p>
          <w:p w14:paraId="3268BA22" w14:textId="77777777" w:rsidR="00866FCF" w:rsidRDefault="00866FCF" w:rsidP="00DD77AF">
            <w:pPr>
              <w:jc w:val="both"/>
            </w:pPr>
          </w:p>
          <w:p w14:paraId="503CD29A" w14:textId="5C992749" w:rsidR="00DD77AF" w:rsidRDefault="00C54383" w:rsidP="00DD77AF">
            <w:pPr>
              <w:jc w:val="both"/>
            </w:pPr>
            <w:r>
              <w:t>F</w:t>
            </w:r>
            <w:r w:rsidR="00577684">
              <w:t xml:space="preserve">or </w:t>
            </w:r>
            <w:r w:rsidR="001F379C">
              <w:t>store virksomheder</w:t>
            </w:r>
            <w:r w:rsidR="002B5CE1">
              <w:t>, der ikke er af offentlig interesse</w:t>
            </w:r>
            <w:r w:rsidR="00866FCF">
              <w:t>,</w:t>
            </w:r>
            <w:r w:rsidR="001F379C">
              <w:t xml:space="preserve"> </w:t>
            </w:r>
            <w:r w:rsidR="004340EF">
              <w:t>udskydes</w:t>
            </w:r>
            <w:r w:rsidR="007F229E">
              <w:t xml:space="preserve"> virkning</w:t>
            </w:r>
            <w:r w:rsidR="004340EF">
              <w:t>en til</w:t>
            </w:r>
            <w:r w:rsidR="007F229E">
              <w:t xml:space="preserve"> regnskabsår, der starter </w:t>
            </w:r>
            <w:r w:rsidR="00CE5BFA">
              <w:t>1. januar 2027</w:t>
            </w:r>
            <w:r w:rsidR="009E6DB5">
              <w:t xml:space="preserve"> og senere</w:t>
            </w:r>
            <w:r w:rsidR="004340EF">
              <w:t>.</w:t>
            </w:r>
            <w:r w:rsidR="007F229E">
              <w:t xml:space="preserve"> </w:t>
            </w:r>
            <w:r w:rsidR="004340EF">
              <w:t>F</w:t>
            </w:r>
            <w:r w:rsidR="00AB2734">
              <w:t>or s</w:t>
            </w:r>
            <w:r w:rsidR="00AB2734" w:rsidRPr="00AB2734">
              <w:t>må og mellemstore virksomheder, der har værdipapirer optaget til handel på et reguleret marked i EU-/EØS</w:t>
            </w:r>
            <w:r w:rsidR="00866FCF">
              <w:t>,</w:t>
            </w:r>
            <w:r w:rsidR="00AB2734" w:rsidRPr="00AB2734">
              <w:t xml:space="preserve"> og for små og ikkekomplekse institutter, der har værdipapirer optaget til handel på et reguleret marked i EU-/EØS</w:t>
            </w:r>
            <w:r w:rsidR="00866FCF">
              <w:t xml:space="preserve">, </w:t>
            </w:r>
            <w:r w:rsidR="009E6DB5">
              <w:t xml:space="preserve">udskydes virkningen til </w:t>
            </w:r>
            <w:r>
              <w:t>regnskabsår, der starter 1. januar 2027</w:t>
            </w:r>
            <w:r w:rsidR="009E6DB5">
              <w:t xml:space="preserve"> og senere</w:t>
            </w:r>
            <w:r w:rsidR="00DD77AF">
              <w:t xml:space="preserve">. </w:t>
            </w:r>
          </w:p>
          <w:p w14:paraId="6A68BB45" w14:textId="77777777" w:rsidR="00DD77AF" w:rsidRDefault="00DD77AF" w:rsidP="00DD77AF">
            <w:pPr>
              <w:jc w:val="both"/>
            </w:pPr>
          </w:p>
          <w:p w14:paraId="64A0841E" w14:textId="207CAF95" w:rsidR="00DD77AF" w:rsidRDefault="00DD77AF" w:rsidP="00DD77AF">
            <w:pPr>
              <w:jc w:val="both"/>
            </w:pPr>
            <w:r>
              <w:t xml:space="preserve">(Offentliggjort den 22. november 2025, </w:t>
            </w:r>
            <w:hyperlink r:id="rId8" w:history="1">
              <w:r w:rsidRPr="00D50CB8">
                <w:rPr>
                  <w:rStyle w:val="Hyperlink"/>
                </w:rPr>
                <w:t>li</w:t>
              </w:r>
              <w:r w:rsidRPr="00D50CB8">
                <w:rPr>
                  <w:rStyle w:val="Hyperlink"/>
                </w:rPr>
                <w:t>n</w:t>
              </w:r>
              <w:r w:rsidRPr="00D50CB8">
                <w:rPr>
                  <w:rStyle w:val="Hyperlink"/>
                </w:rPr>
                <w:t>k</w:t>
              </w:r>
            </w:hyperlink>
            <w:r>
              <w:t>)</w:t>
            </w:r>
          </w:p>
          <w:p w14:paraId="11BA2AD6" w14:textId="77777777" w:rsidR="00DD77AF" w:rsidRDefault="00DD77AF"/>
          <w:p w14:paraId="6C6F58B6" w14:textId="77777777" w:rsidR="00F11923" w:rsidRDefault="00F11923"/>
          <w:p w14:paraId="01C89F4B" w14:textId="77777777" w:rsidR="006C77C5" w:rsidRPr="00D20C9D" w:rsidRDefault="006C77C5" w:rsidP="006C77C5">
            <w:pPr>
              <w:jc w:val="both"/>
              <w:rPr>
                <w:b/>
                <w:bCs/>
              </w:rPr>
            </w:pPr>
            <w:bookmarkStart w:id="1" w:name="B"/>
            <w:r w:rsidRPr="00D20C9D">
              <w:rPr>
                <w:b/>
                <w:bCs/>
              </w:rPr>
              <w:t>Vejledning nr. 10091 af 14. november 2025 til bekendtgørelse om indberetning til og offentliggørelse af årsrapporter m.v. i Erhvervsstyrelsen for virksomheder omfattet af regnskabsregler fastsat ved eller i henhold til lovgivningen for finansielle virksomheder m.v.</w:t>
            </w:r>
          </w:p>
          <w:bookmarkEnd w:id="1"/>
          <w:p w14:paraId="4F9A3788" w14:textId="77777777" w:rsidR="006C77C5" w:rsidRDefault="006C77C5" w:rsidP="006C77C5">
            <w:pPr>
              <w:jc w:val="both"/>
            </w:pPr>
          </w:p>
          <w:p w14:paraId="0893B274" w14:textId="64E56680" w:rsidR="006C77C5" w:rsidRDefault="006C77C5" w:rsidP="006C77C5">
            <w:pPr>
              <w:jc w:val="both"/>
            </w:pPr>
            <w:r>
              <w:t xml:space="preserve">Vejledningen </w:t>
            </w:r>
            <w:r w:rsidRPr="00D20C9D">
              <w:t>vedrører bekendtgørelse om indberetning til og offentliggørelse af årsrapporter m.v. i Erhvervsstyrelsen for virksomheder omfattet af regnskabsregler fastsat ved eller i henhold til lovgivningen for finansielle virksomheder m.v.</w:t>
            </w:r>
          </w:p>
          <w:p w14:paraId="4A108FBF" w14:textId="77777777" w:rsidR="006C77C5" w:rsidRDefault="006C77C5" w:rsidP="006C77C5">
            <w:pPr>
              <w:jc w:val="both"/>
            </w:pPr>
          </w:p>
          <w:p w14:paraId="2531B415" w14:textId="6A513FFC" w:rsidR="006C77C5" w:rsidRDefault="006C77C5" w:rsidP="006C77C5">
            <w:pPr>
              <w:jc w:val="both"/>
            </w:pPr>
            <w:r>
              <w:t xml:space="preserve">(Offentliggjort den 15. november 2025, </w:t>
            </w:r>
            <w:hyperlink r:id="rId9" w:history="1">
              <w:r w:rsidRPr="0091280E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614DD3F1" w14:textId="77777777" w:rsidR="00DD77AF" w:rsidRDefault="00DD77AF"/>
          <w:p w14:paraId="2BE89B52" w14:textId="77777777" w:rsidR="006C77C5" w:rsidRDefault="006C77C5"/>
        </w:tc>
      </w:tr>
      <w:tr w:rsidR="00BE4C01" w14:paraId="2E8F680D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33F4D91" w14:textId="215F6731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lastRenderedPageBreak/>
              <w:t>EU-REGULERING (forordninger)</w:t>
            </w:r>
          </w:p>
        </w:tc>
      </w:tr>
      <w:tr w:rsidR="00BE4C01" w14:paraId="6AF8D239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C426A68" w14:textId="017C4220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1</w:t>
            </w:r>
          </w:p>
        </w:tc>
      </w:tr>
      <w:tr w:rsidR="00BE4C01" w14:paraId="1DF6C69F" w14:textId="77777777" w:rsidTr="00BE4C01">
        <w:tc>
          <w:tcPr>
            <w:tcW w:w="9628" w:type="dxa"/>
          </w:tcPr>
          <w:p w14:paraId="56ADC970" w14:textId="77777777" w:rsidR="00BE4C01" w:rsidRDefault="00BE4C01"/>
          <w:p w14:paraId="7A8F2D19" w14:textId="77777777" w:rsidR="007564C9" w:rsidRDefault="007564C9" w:rsidP="007564C9">
            <w:r>
              <w:t>Intet nyt.</w:t>
            </w:r>
          </w:p>
          <w:p w14:paraId="010E559B" w14:textId="77777777" w:rsidR="007564C9" w:rsidRDefault="007564C9"/>
        </w:tc>
      </w:tr>
      <w:tr w:rsidR="00BE4C01" w14:paraId="33726393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5443431C" w14:textId="42CA405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Niveau 2</w:t>
            </w:r>
          </w:p>
        </w:tc>
      </w:tr>
      <w:tr w:rsidR="00BE4C01" w14:paraId="041C1121" w14:textId="77777777" w:rsidTr="00BE4C01">
        <w:tc>
          <w:tcPr>
            <w:tcW w:w="9628" w:type="dxa"/>
          </w:tcPr>
          <w:p w14:paraId="52E1A042" w14:textId="77777777" w:rsidR="00BE4C01" w:rsidRDefault="00BE4C01"/>
          <w:p w14:paraId="59C6AA7B" w14:textId="77777777" w:rsidR="001B4EBD" w:rsidRDefault="001B4EBD" w:rsidP="001B4EBD">
            <w:pPr>
              <w:jc w:val="both"/>
            </w:pPr>
            <w:bookmarkStart w:id="2" w:name="C"/>
            <w:r w:rsidRPr="001B4E03">
              <w:rPr>
                <w:b/>
                <w:bCs/>
              </w:rPr>
              <w:t>Kommissionens gennemførelsesforordning (EU) 2025/2159 af 27. oktober 2025 om ændring af de gennemførelsesmæssige tekniske standarder i gennemførelsesforordning (EU) 2021/2284 for så vidt angår investeringsselskabers indberetning med henblik på tilsyn og offentliggørelse af oplysninger</w:t>
            </w:r>
          </w:p>
          <w:bookmarkEnd w:id="2"/>
          <w:p w14:paraId="3BA659CF" w14:textId="77777777" w:rsidR="00B147CE" w:rsidRDefault="00B147CE" w:rsidP="001B4EBD">
            <w:pPr>
              <w:jc w:val="both"/>
            </w:pPr>
          </w:p>
          <w:p w14:paraId="75077C3A" w14:textId="77777777" w:rsidR="000D23D6" w:rsidRDefault="001B4EBD" w:rsidP="001B4EBD">
            <w:pPr>
              <w:jc w:val="both"/>
            </w:pPr>
            <w:r>
              <w:t xml:space="preserve">Forordningen ændrer i niveau 2-regler under IFR om </w:t>
            </w:r>
            <w:r w:rsidRPr="00935146">
              <w:t>investeringsselskabers indberetning med henblik på tilsyn og offentliggørelse af oplysninger</w:t>
            </w:r>
            <w:r>
              <w:t>.</w:t>
            </w:r>
            <w:r w:rsidR="00FE561B">
              <w:t xml:space="preserve"> </w:t>
            </w:r>
            <w:r w:rsidR="00B64582">
              <w:t>Herunder ændres i bestemmelsen om f</w:t>
            </w:r>
            <w:r w:rsidR="00B64582" w:rsidRPr="00B64582">
              <w:t>ormat for og hyppighed af indberetning fra andre investeringsselskaber end små og ikke indbyrdes forbundne investeringsselskaber</w:t>
            </w:r>
            <w:r w:rsidR="00B64582">
              <w:t>.</w:t>
            </w:r>
            <w:r w:rsidR="000D23D6">
              <w:t xml:space="preserve"> </w:t>
            </w:r>
            <w:r w:rsidR="00B64582">
              <w:t xml:space="preserve">Ændringerne </w:t>
            </w:r>
            <w:r w:rsidR="00081AC9">
              <w:t>er foranlediget</w:t>
            </w:r>
            <w:r w:rsidR="00CE58DE">
              <w:t xml:space="preserve"> af ændringer i indberetninger for kreditinstitutter under CRR.</w:t>
            </w:r>
            <w:r>
              <w:t xml:space="preserve"> </w:t>
            </w:r>
          </w:p>
          <w:p w14:paraId="166906AA" w14:textId="77777777" w:rsidR="000D23D6" w:rsidRDefault="000D23D6" w:rsidP="001B4EBD">
            <w:pPr>
              <w:jc w:val="both"/>
            </w:pPr>
          </w:p>
          <w:p w14:paraId="3587061A" w14:textId="10DE258F" w:rsidR="001B4EBD" w:rsidRDefault="004F63B4" w:rsidP="001B4EBD">
            <w:pPr>
              <w:jc w:val="both"/>
            </w:pPr>
            <w:r>
              <w:t>F</w:t>
            </w:r>
            <w:r w:rsidR="001B4EBD">
              <w:t xml:space="preserve">orordningen </w:t>
            </w:r>
            <w:r w:rsidR="00757D6F">
              <w:t>trådte i kraft</w:t>
            </w:r>
            <w:r w:rsidR="001B4EBD">
              <w:t xml:space="preserve"> den 20. november 2025</w:t>
            </w:r>
            <w:r w:rsidR="004C3469">
              <w:t xml:space="preserve"> og </w:t>
            </w:r>
            <w:r w:rsidR="00730D58">
              <w:t>medfører</w:t>
            </w:r>
            <w:r w:rsidR="004C3469">
              <w:t xml:space="preserve"> ændringer i indberetninger, der skal indsendes </w:t>
            </w:r>
            <w:r w:rsidR="004C3469" w:rsidRPr="004C3469">
              <w:t>senest den 30. juni 2026</w:t>
            </w:r>
            <w:r w:rsidR="00044D2D">
              <w:t>.</w:t>
            </w:r>
          </w:p>
          <w:p w14:paraId="0B51DF53" w14:textId="77777777" w:rsidR="00B147CE" w:rsidRDefault="00B147CE" w:rsidP="001B4EBD">
            <w:pPr>
              <w:jc w:val="both"/>
            </w:pPr>
          </w:p>
          <w:p w14:paraId="1801EFFC" w14:textId="77D040C6" w:rsidR="001B4EBD" w:rsidRDefault="001B4EBD" w:rsidP="001B4EBD">
            <w:pPr>
              <w:jc w:val="both"/>
            </w:pPr>
            <w:r>
              <w:t xml:space="preserve">(Offentliggjort den 31. oktober 2025, </w:t>
            </w:r>
            <w:hyperlink r:id="rId10" w:history="1">
              <w:r w:rsidRPr="00A13E82">
                <w:rPr>
                  <w:rStyle w:val="Hyperlink"/>
                </w:rPr>
                <w:t>li</w:t>
              </w:r>
              <w:r w:rsidRPr="00A13E82">
                <w:rPr>
                  <w:rStyle w:val="Hyperlink"/>
                </w:rPr>
                <w:t>n</w:t>
              </w:r>
              <w:r w:rsidRPr="00A13E82">
                <w:rPr>
                  <w:rStyle w:val="Hyperlink"/>
                </w:rPr>
                <w:t>k</w:t>
              </w:r>
            </w:hyperlink>
            <w:r>
              <w:t>)</w:t>
            </w:r>
          </w:p>
          <w:p w14:paraId="5B474FA1" w14:textId="77777777" w:rsidR="001B4EBD" w:rsidRDefault="001B4EBD"/>
          <w:p w14:paraId="7057DA91" w14:textId="77777777" w:rsidR="00F11923" w:rsidRDefault="00F11923"/>
          <w:p w14:paraId="34AAC412" w14:textId="77777777" w:rsidR="003A1F1E" w:rsidRDefault="003A1F1E" w:rsidP="003A1F1E">
            <w:pPr>
              <w:jc w:val="both"/>
            </w:pPr>
            <w:bookmarkStart w:id="3" w:name="E"/>
            <w:r w:rsidRPr="00EA3501">
              <w:rPr>
                <w:b/>
                <w:bCs/>
              </w:rPr>
              <w:t>Kommissionens delegerede forordning (EU) 2025/1246 af 18. juni 2025 om ændring af de reguleringsmæssige tekniske standarder i delegeret forordning (EU) 2017/583 og (EU) 2017/587 for så vidt angår gennemsigtighedskrav for markedspladser og investeringsselskaber med hensyn til obligationer, strukturerede finansielle produkter, emissionskvoter og aktieinstrumenter</w:t>
            </w:r>
          </w:p>
          <w:bookmarkEnd w:id="3"/>
          <w:p w14:paraId="657C5D27" w14:textId="77777777" w:rsidR="00B147CE" w:rsidRDefault="00B147CE" w:rsidP="003A1F1E">
            <w:pPr>
              <w:jc w:val="both"/>
            </w:pPr>
          </w:p>
          <w:p w14:paraId="1630B0B9" w14:textId="13F686B8" w:rsidR="003A1F1E" w:rsidRDefault="003A1F1E" w:rsidP="003A1F1E">
            <w:pPr>
              <w:jc w:val="both"/>
            </w:pPr>
            <w:r w:rsidRPr="00234F3B">
              <w:t xml:space="preserve">Denne delegerede forordning har til formål at præcisere de tekniske detaljer i de ændrede </w:t>
            </w:r>
            <w:proofErr w:type="spellStart"/>
            <w:r w:rsidRPr="00234F3B">
              <w:t>MiFIR</w:t>
            </w:r>
            <w:proofErr w:type="spellEnd"/>
            <w:r w:rsidRPr="00234F3B">
              <w:t xml:space="preserve">-regler for gennemsigtighedskrav for obligationer, </w:t>
            </w:r>
            <w:r w:rsidR="00B71485">
              <w:t>strukturerede finansielle produkter</w:t>
            </w:r>
            <w:r w:rsidRPr="00234F3B">
              <w:t>, emissionskvoter og egenkapitalinstrumenter.</w:t>
            </w:r>
          </w:p>
          <w:p w14:paraId="0DE42B8D" w14:textId="77777777" w:rsidR="009E5591" w:rsidRDefault="009E5591" w:rsidP="003A1F1E">
            <w:pPr>
              <w:jc w:val="both"/>
            </w:pPr>
          </w:p>
          <w:p w14:paraId="6B056042" w14:textId="5148FF5E" w:rsidR="009E5591" w:rsidRPr="00234F3B" w:rsidRDefault="009E5591" w:rsidP="003A1F1E">
            <w:pPr>
              <w:jc w:val="both"/>
            </w:pPr>
            <w:r>
              <w:t>Forordningen trådte i kra</w:t>
            </w:r>
            <w:r w:rsidR="00747B81">
              <w:t>ft den 23. november 202</w:t>
            </w:r>
            <w:r w:rsidR="00757D6F">
              <w:t>5</w:t>
            </w:r>
            <w:r w:rsidR="008B6C5A">
              <w:t>. En række af bestemmelserne finder anvendelse fra den 2. marts 2026.</w:t>
            </w:r>
          </w:p>
          <w:p w14:paraId="1B917662" w14:textId="77777777" w:rsidR="00B147CE" w:rsidRDefault="00B147CE" w:rsidP="003A1F1E">
            <w:pPr>
              <w:jc w:val="both"/>
            </w:pPr>
          </w:p>
          <w:p w14:paraId="64F855F0" w14:textId="6F0E8857" w:rsidR="003A1F1E" w:rsidRDefault="003A1F1E" w:rsidP="003A1F1E">
            <w:pPr>
              <w:jc w:val="both"/>
            </w:pPr>
            <w:r>
              <w:t xml:space="preserve">(Offentliggjort den 3. november 2025, </w:t>
            </w:r>
            <w:hyperlink r:id="rId11" w:history="1">
              <w:r w:rsidRPr="00A13E82">
                <w:rPr>
                  <w:rStyle w:val="Hyperlink"/>
                </w:rPr>
                <w:t>l</w:t>
              </w:r>
              <w:r w:rsidRPr="00A13E82">
                <w:rPr>
                  <w:rStyle w:val="Hyperlink"/>
                </w:rPr>
                <w:t>i</w:t>
              </w:r>
              <w:r w:rsidRPr="00A13E82">
                <w:rPr>
                  <w:rStyle w:val="Hyperlink"/>
                </w:rPr>
                <w:t>nk</w:t>
              </w:r>
            </w:hyperlink>
            <w:r>
              <w:t>)</w:t>
            </w:r>
          </w:p>
          <w:p w14:paraId="19CEFC1E" w14:textId="77777777" w:rsidR="003A1F1E" w:rsidRDefault="003A1F1E"/>
          <w:p w14:paraId="3056D9D9" w14:textId="77777777" w:rsidR="00F11923" w:rsidRDefault="00F11923"/>
          <w:p w14:paraId="2325B326" w14:textId="77777777" w:rsidR="008062DC" w:rsidRDefault="008062DC" w:rsidP="008062DC">
            <w:pPr>
              <w:jc w:val="both"/>
            </w:pPr>
            <w:bookmarkStart w:id="4" w:name="F"/>
            <w:r w:rsidRPr="00F72B58">
              <w:rPr>
                <w:b/>
                <w:bCs/>
              </w:rPr>
              <w:t>Kommissionens delegerede forordning (EU) 2025/1156 af 12. juni 2025 om supplerende regler til Europa-Parlamentets og Rådets forordning (EU) nr. 600/2014 for så vidt angår reguleringsmæssige tekniske standarder vedrørende forpligtelsen til at gøre markedsdata tilgængelige for offentligheden på rimelige handelsmæssige vilkår</w:t>
            </w:r>
          </w:p>
          <w:bookmarkEnd w:id="4"/>
          <w:p w14:paraId="1744F6BC" w14:textId="77777777" w:rsidR="00B147CE" w:rsidRDefault="00B147CE" w:rsidP="008062DC">
            <w:pPr>
              <w:jc w:val="both"/>
            </w:pPr>
          </w:p>
          <w:p w14:paraId="4A18724C" w14:textId="77777777" w:rsidR="00DA17E3" w:rsidRDefault="008062DC" w:rsidP="008062DC">
            <w:pPr>
              <w:jc w:val="both"/>
            </w:pPr>
            <w:r w:rsidRPr="00DE40BC">
              <w:t xml:space="preserve">Der er tale om ændringer af niveau 2-regler under </w:t>
            </w:r>
            <w:proofErr w:type="spellStart"/>
            <w:r w:rsidRPr="00DE40BC">
              <w:t>MiFIR</w:t>
            </w:r>
            <w:proofErr w:type="spellEnd"/>
            <w:r w:rsidRPr="00DE40BC">
              <w:t xml:space="preserve"> vedrørende forpligtelsen til at levere markedsdata på rimelige forretningsmæssige vilkår.</w:t>
            </w:r>
            <w:r w:rsidR="00C943C5">
              <w:t xml:space="preserve"> Den delegere</w:t>
            </w:r>
            <w:r w:rsidR="00C327A7">
              <w:t>de</w:t>
            </w:r>
            <w:r w:rsidR="00C943C5">
              <w:t xml:space="preserve"> forordning finder </w:t>
            </w:r>
            <w:r w:rsidR="00EF03F3">
              <w:t xml:space="preserve">bl.a. </w:t>
            </w:r>
            <w:r w:rsidR="00C943C5">
              <w:t xml:space="preserve">anvendelse på </w:t>
            </w:r>
            <w:r w:rsidR="00EF03F3">
              <w:t xml:space="preserve">investeringsselskaber, der driver en markedsplads, samt </w:t>
            </w:r>
            <w:proofErr w:type="spellStart"/>
            <w:r w:rsidR="00EF03F3">
              <w:t>SI’er</w:t>
            </w:r>
            <w:proofErr w:type="spellEnd"/>
            <w:r w:rsidR="00C943C5">
              <w:t>.</w:t>
            </w:r>
            <w:r w:rsidR="001442CF">
              <w:t xml:space="preserve"> </w:t>
            </w:r>
          </w:p>
          <w:p w14:paraId="54B188CD" w14:textId="77777777" w:rsidR="00DA17E3" w:rsidRDefault="00DA17E3" w:rsidP="008062DC">
            <w:pPr>
              <w:jc w:val="both"/>
            </w:pPr>
          </w:p>
          <w:p w14:paraId="7A564161" w14:textId="77777777" w:rsidR="00DA17E3" w:rsidRDefault="00DA17E3" w:rsidP="008062DC">
            <w:pPr>
              <w:jc w:val="both"/>
            </w:pPr>
          </w:p>
          <w:p w14:paraId="7856884D" w14:textId="39D9F9F0" w:rsidR="008062DC" w:rsidRDefault="00035107" w:rsidP="008062DC">
            <w:pPr>
              <w:jc w:val="both"/>
            </w:pPr>
            <w:r>
              <w:lastRenderedPageBreak/>
              <w:t>For virksomheder, der er</w:t>
            </w:r>
            <w:r w:rsidR="001442CF">
              <w:t xml:space="preserve"> meddelt tilladelse </w:t>
            </w:r>
            <w:r w:rsidR="001442CF" w:rsidRPr="001442CF">
              <w:t>før den 23. november 2025, finder forordning</w:t>
            </w:r>
            <w:r>
              <w:t>en</w:t>
            </w:r>
            <w:r w:rsidR="001442CF" w:rsidRPr="001442CF">
              <w:t xml:space="preserve"> anvendelse fra den 23. august 2026</w:t>
            </w:r>
            <w:r>
              <w:t>.</w:t>
            </w:r>
          </w:p>
          <w:p w14:paraId="448FD334" w14:textId="77777777" w:rsidR="00B147CE" w:rsidRDefault="00B147CE" w:rsidP="008062DC">
            <w:pPr>
              <w:jc w:val="both"/>
            </w:pPr>
          </w:p>
          <w:p w14:paraId="2AB7E776" w14:textId="4BBA4903" w:rsidR="008062DC" w:rsidRDefault="008062DC" w:rsidP="008062DC">
            <w:pPr>
              <w:jc w:val="both"/>
            </w:pPr>
            <w:r>
              <w:t xml:space="preserve">(Offentliggjort den 3. november 2025, </w:t>
            </w:r>
            <w:hyperlink r:id="rId12" w:history="1">
              <w:r w:rsidRPr="00A13E82">
                <w:rPr>
                  <w:rStyle w:val="Hyperlink"/>
                </w:rPr>
                <w:t>link</w:t>
              </w:r>
            </w:hyperlink>
            <w:r>
              <w:t>)</w:t>
            </w:r>
          </w:p>
          <w:p w14:paraId="570C0B58" w14:textId="77777777" w:rsidR="001B4EBD" w:rsidRDefault="001B4EBD" w:rsidP="00240539">
            <w:pPr>
              <w:jc w:val="both"/>
            </w:pPr>
          </w:p>
        </w:tc>
      </w:tr>
      <w:tr w:rsidR="00BE4C01" w14:paraId="15D16C97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2EAF4AB2" w14:textId="47D47A5D" w:rsidR="00BE4C01" w:rsidRPr="005945AC" w:rsidRDefault="00BE4C01" w:rsidP="00BE4C01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lastRenderedPageBreak/>
              <w:t>RETNINGSLINJER FRA ESA’ERNE</w:t>
            </w:r>
          </w:p>
        </w:tc>
      </w:tr>
      <w:tr w:rsidR="00BE4C01" w14:paraId="7EFB212B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8A36234" w14:textId="6C0B6A7D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EBA</w:t>
            </w:r>
          </w:p>
        </w:tc>
      </w:tr>
      <w:tr w:rsidR="00BE4C01" w14:paraId="46B54A56" w14:textId="77777777" w:rsidTr="00BE4C01">
        <w:tc>
          <w:tcPr>
            <w:tcW w:w="9628" w:type="dxa"/>
          </w:tcPr>
          <w:p w14:paraId="6DBE23E1" w14:textId="77777777" w:rsidR="00BE4C01" w:rsidRDefault="00BE4C01"/>
          <w:p w14:paraId="41EBD3B2" w14:textId="77777777" w:rsidR="007564C9" w:rsidRDefault="007564C9" w:rsidP="007564C9">
            <w:r>
              <w:t>Intet nyt.</w:t>
            </w:r>
          </w:p>
          <w:p w14:paraId="5E1E2D1B" w14:textId="77777777" w:rsidR="007564C9" w:rsidRDefault="007564C9"/>
        </w:tc>
      </w:tr>
      <w:tr w:rsidR="00BE4C01" w14:paraId="2CFF0838" w14:textId="77777777" w:rsidTr="0045749D">
        <w:tc>
          <w:tcPr>
            <w:tcW w:w="9628" w:type="dxa"/>
            <w:shd w:val="clear" w:color="auto" w:fill="D9D9D9" w:themeFill="background1" w:themeFillShade="D9"/>
          </w:tcPr>
          <w:p w14:paraId="01FEF4B9" w14:textId="752585A1" w:rsidR="00BE4C01" w:rsidRPr="005945AC" w:rsidRDefault="00BE4C01" w:rsidP="00BE4C01">
            <w:pPr>
              <w:pStyle w:val="Listeafsnit"/>
              <w:numPr>
                <w:ilvl w:val="1"/>
                <w:numId w:val="1"/>
              </w:numPr>
              <w:rPr>
                <w:b/>
                <w:bCs/>
              </w:rPr>
            </w:pPr>
            <w:r w:rsidRPr="005945AC">
              <w:rPr>
                <w:b/>
                <w:bCs/>
              </w:rPr>
              <w:t>ESMA</w:t>
            </w:r>
          </w:p>
        </w:tc>
      </w:tr>
      <w:tr w:rsidR="00BE4C01" w14:paraId="7F315866" w14:textId="77777777" w:rsidTr="00BE4C01">
        <w:tc>
          <w:tcPr>
            <w:tcW w:w="9628" w:type="dxa"/>
          </w:tcPr>
          <w:p w14:paraId="64586FB6" w14:textId="77777777" w:rsidR="00BE4C01" w:rsidRDefault="00BE4C01"/>
          <w:p w14:paraId="7EA741D8" w14:textId="77777777" w:rsidR="007564C9" w:rsidRDefault="007564C9" w:rsidP="00CC7A5F">
            <w:r>
              <w:t>Intet nyt.</w:t>
            </w:r>
          </w:p>
          <w:p w14:paraId="29E632A3" w14:textId="1BA7F055" w:rsidR="00CC7A5F" w:rsidRDefault="00CC7A5F" w:rsidP="00CC7A5F"/>
        </w:tc>
      </w:tr>
    </w:tbl>
    <w:p w14:paraId="329D25E6" w14:textId="77777777" w:rsidR="00BE4C01" w:rsidRDefault="00BE4C01"/>
    <w:p w14:paraId="6BBF4DE2" w14:textId="77777777" w:rsidR="00BE4C01" w:rsidRPr="00BE4C01" w:rsidRDefault="00BE4C01" w:rsidP="00BE4C01"/>
    <w:p w14:paraId="251BD954" w14:textId="54A22563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t xml:space="preserve">Denne oversigt over ny finansiel regulering er udvalgt af </w:t>
      </w:r>
      <w:r w:rsidR="001928E1">
        <w:rPr>
          <w:i/>
          <w:iCs/>
        </w:rPr>
        <w:t>Equity Law Advokatanpartsselskab</w:t>
      </w:r>
      <w:r w:rsidRPr="00BE4C01">
        <w:rPr>
          <w:i/>
          <w:iCs/>
        </w:rPr>
        <w:t xml:space="preserve"> ud fra regulering, der retter sig direkte til fondsmæglerselskaber og deres </w:t>
      </w:r>
      <w:proofErr w:type="spellStart"/>
      <w:r w:rsidRPr="00BE4C01">
        <w:rPr>
          <w:i/>
          <w:iCs/>
        </w:rPr>
        <w:t>holdingvirksomheder</w:t>
      </w:r>
      <w:proofErr w:type="spellEnd"/>
      <w:r w:rsidRPr="00BE4C01">
        <w:rPr>
          <w:i/>
          <w:iCs/>
        </w:rPr>
        <w:t xml:space="preserve">. Oversigten er en informationstjeneste og udgør ikke juridisk rådgivning, og </w:t>
      </w:r>
      <w:r w:rsidR="000A03EB">
        <w:rPr>
          <w:i/>
          <w:iCs/>
        </w:rPr>
        <w:t>Equity Law Advokatanpartsselskab</w:t>
      </w:r>
      <w:r w:rsidRPr="00BE4C01">
        <w:rPr>
          <w:i/>
          <w:iCs/>
        </w:rPr>
        <w:t xml:space="preserve"> påtager sig ikke ansvar for fejl eller mangler. </w:t>
      </w:r>
      <w:r w:rsidRPr="00BE4C01">
        <w:rPr>
          <w:noProof/>
        </w:rPr>
        <w:drawing>
          <wp:anchor distT="0" distB="0" distL="114300" distR="114300" simplePos="0" relativeHeight="251659264" behindDoc="0" locked="0" layoutInCell="1" allowOverlap="1" wp14:anchorId="7F4E4D6D" wp14:editId="79FD38D8">
            <wp:simplePos x="0" y="0"/>
            <wp:positionH relativeFrom="column">
              <wp:posOffset>-4098</wp:posOffset>
            </wp:positionH>
            <wp:positionV relativeFrom="paragraph">
              <wp:posOffset>168</wp:posOffset>
            </wp:positionV>
            <wp:extent cx="1401445" cy="1504950"/>
            <wp:effectExtent l="0" t="0" r="8255" b="0"/>
            <wp:wrapSquare wrapText="bothSides"/>
            <wp:docPr id="1686948146" name="Billede 1686948146" descr="Et billede, der indeholder person, mur, menneske, indendør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person, mur, menneske, indendørs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285"/>
                    <a:stretch/>
                  </pic:blipFill>
                  <pic:spPr bwMode="auto">
                    <a:xfrm>
                      <a:off x="0" y="0"/>
                      <a:ext cx="140144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86D39AB" w14:textId="228586F2" w:rsidR="00BE4C01" w:rsidRPr="00BE4C01" w:rsidRDefault="00BE4C01" w:rsidP="00BE4C01">
      <w:pPr>
        <w:rPr>
          <w:i/>
          <w:iCs/>
        </w:rPr>
      </w:pPr>
      <w:r w:rsidRPr="00BE4C01">
        <w:rPr>
          <w:i/>
          <w:iCs/>
        </w:rPr>
        <w:t xml:space="preserve">Oversigten er redigeret af advokat Camilla Søborg, </w:t>
      </w:r>
      <w:hyperlink r:id="rId14" w:history="1">
        <w:r w:rsidR="000A03EB" w:rsidRPr="00401311">
          <w:rPr>
            <w:rStyle w:val="Hyperlink"/>
            <w:i/>
            <w:iCs/>
          </w:rPr>
          <w:t>cas@equitylaw.dk</w:t>
        </w:r>
      </w:hyperlink>
      <w:r w:rsidRPr="00BE4C01">
        <w:rPr>
          <w:i/>
          <w:iCs/>
        </w:rPr>
        <w:t xml:space="preserve">, tlf. 53500914, som du kan rette henvendelse til, hvis du har kommentarer eller spørgsmål. </w:t>
      </w:r>
    </w:p>
    <w:p w14:paraId="514A19E8" w14:textId="77777777" w:rsidR="00BE4C01" w:rsidRPr="00BE4C01" w:rsidRDefault="00BE4C01" w:rsidP="00BE4C01">
      <w:pPr>
        <w:rPr>
          <w:i/>
          <w:iCs/>
        </w:rPr>
      </w:pPr>
    </w:p>
    <w:p w14:paraId="22D0A962" w14:textId="09AEDB04" w:rsidR="00BE4C01" w:rsidRPr="00BE4C01" w:rsidRDefault="006C57C3" w:rsidP="00BE4C01">
      <w:r>
        <w:rPr>
          <w:noProof/>
        </w:rPr>
        <w:drawing>
          <wp:inline distT="0" distB="0" distL="0" distR="0" wp14:anchorId="03371999" wp14:editId="5DB5042A">
            <wp:extent cx="1495425" cy="295275"/>
            <wp:effectExtent l="0" t="0" r="9525" b="9525"/>
            <wp:docPr id="994185766" name="Billede 1" descr="Et billede, der indeholder Font/skrifttype, Grafik, logo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185766" name="Billede 1" descr="Et billede, der indeholder Font/skrifttype, Grafik, logo, tekst&#10;&#10;Automatisk generere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76" t="-2857" r="11765" b="14287"/>
                    <a:stretch/>
                  </pic:blipFill>
                  <pic:spPr bwMode="auto">
                    <a:xfrm>
                      <a:off x="0" y="0"/>
                      <a:ext cx="1495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FECEBF" w14:textId="64DC358D" w:rsidR="00BE4C01" w:rsidRPr="00BE4C01" w:rsidRDefault="00A356F8" w:rsidP="00BE4C01">
      <w:r>
        <w:t>Equity Law Advokatanpartsselskab</w:t>
      </w:r>
      <w:r w:rsidR="00BE4C01" w:rsidRPr="00BE4C01">
        <w:t>,</w:t>
      </w:r>
      <w:r w:rsidR="00BE4C01" w:rsidRPr="00BE4C01">
        <w:rPr>
          <w:b/>
          <w:bCs/>
        </w:rPr>
        <w:t xml:space="preserve"> </w:t>
      </w:r>
      <w:r w:rsidR="00BE4C01" w:rsidRPr="00BE4C01">
        <w:t xml:space="preserve">CVR-nr. </w:t>
      </w:r>
      <w:r w:rsidR="000D0984" w:rsidRPr="000D0984">
        <w:t>42512273</w:t>
      </w:r>
      <w:r w:rsidR="00BE4C01" w:rsidRPr="00BE4C01">
        <w:t xml:space="preserve">, </w:t>
      </w:r>
      <w:r w:rsidR="000D0984">
        <w:t>Strandvejen 60</w:t>
      </w:r>
      <w:r w:rsidR="00BE4C01" w:rsidRPr="00BE4C01">
        <w:t>, DK-2900 Hellerup</w:t>
      </w:r>
    </w:p>
    <w:p w14:paraId="6AACDA41" w14:textId="77777777" w:rsidR="00BE4C01" w:rsidRDefault="00BE4C01"/>
    <w:sectPr w:rsidR="00BE4C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9335C"/>
    <w:multiLevelType w:val="multilevel"/>
    <w:tmpl w:val="DCAC5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463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01"/>
    <w:rsid w:val="00026A88"/>
    <w:rsid w:val="00026AE4"/>
    <w:rsid w:val="00035107"/>
    <w:rsid w:val="00044D2D"/>
    <w:rsid w:val="00081AC9"/>
    <w:rsid w:val="000A03EB"/>
    <w:rsid w:val="000C1C53"/>
    <w:rsid w:val="000D0984"/>
    <w:rsid w:val="000D23D6"/>
    <w:rsid w:val="001163B2"/>
    <w:rsid w:val="001222D0"/>
    <w:rsid w:val="00136D9B"/>
    <w:rsid w:val="001442CF"/>
    <w:rsid w:val="00146B15"/>
    <w:rsid w:val="00174F91"/>
    <w:rsid w:val="001928E1"/>
    <w:rsid w:val="001B4EBD"/>
    <w:rsid w:val="001D2801"/>
    <w:rsid w:val="001D34A3"/>
    <w:rsid w:val="001F379C"/>
    <w:rsid w:val="00240539"/>
    <w:rsid w:val="00265438"/>
    <w:rsid w:val="002B5CE1"/>
    <w:rsid w:val="002B6B87"/>
    <w:rsid w:val="00344CB3"/>
    <w:rsid w:val="003922C2"/>
    <w:rsid w:val="003A1F1E"/>
    <w:rsid w:val="003B7D51"/>
    <w:rsid w:val="004044A5"/>
    <w:rsid w:val="00427ED3"/>
    <w:rsid w:val="004340EF"/>
    <w:rsid w:val="0045749D"/>
    <w:rsid w:val="004C3469"/>
    <w:rsid w:val="004D740B"/>
    <w:rsid w:val="004F63B4"/>
    <w:rsid w:val="00533C93"/>
    <w:rsid w:val="005604EB"/>
    <w:rsid w:val="00577684"/>
    <w:rsid w:val="005945AC"/>
    <w:rsid w:val="005C2158"/>
    <w:rsid w:val="005F1240"/>
    <w:rsid w:val="00683494"/>
    <w:rsid w:val="006C0074"/>
    <w:rsid w:val="006C57C3"/>
    <w:rsid w:val="006C77C5"/>
    <w:rsid w:val="00730D58"/>
    <w:rsid w:val="00747B81"/>
    <w:rsid w:val="007564C9"/>
    <w:rsid w:val="00757D6F"/>
    <w:rsid w:val="007B2532"/>
    <w:rsid w:val="007F229E"/>
    <w:rsid w:val="008062DC"/>
    <w:rsid w:val="00815FD3"/>
    <w:rsid w:val="00866FCF"/>
    <w:rsid w:val="00887D0C"/>
    <w:rsid w:val="008901B6"/>
    <w:rsid w:val="008B6C5A"/>
    <w:rsid w:val="0090612A"/>
    <w:rsid w:val="009911B9"/>
    <w:rsid w:val="009C24F4"/>
    <w:rsid w:val="009E5591"/>
    <w:rsid w:val="009E6DB5"/>
    <w:rsid w:val="00A356F8"/>
    <w:rsid w:val="00A97075"/>
    <w:rsid w:val="00AB2734"/>
    <w:rsid w:val="00AC49A8"/>
    <w:rsid w:val="00B02E43"/>
    <w:rsid w:val="00B147CE"/>
    <w:rsid w:val="00B32753"/>
    <w:rsid w:val="00B64582"/>
    <w:rsid w:val="00B71485"/>
    <w:rsid w:val="00B807E5"/>
    <w:rsid w:val="00B8453A"/>
    <w:rsid w:val="00BA5D03"/>
    <w:rsid w:val="00BC1F31"/>
    <w:rsid w:val="00BE4C01"/>
    <w:rsid w:val="00C21A39"/>
    <w:rsid w:val="00C327A7"/>
    <w:rsid w:val="00C54383"/>
    <w:rsid w:val="00C943C5"/>
    <w:rsid w:val="00CA73CD"/>
    <w:rsid w:val="00CC7A5F"/>
    <w:rsid w:val="00CE58DE"/>
    <w:rsid w:val="00CE5BFA"/>
    <w:rsid w:val="00D33C47"/>
    <w:rsid w:val="00DA17E3"/>
    <w:rsid w:val="00DC7360"/>
    <w:rsid w:val="00DD47AD"/>
    <w:rsid w:val="00DD48DD"/>
    <w:rsid w:val="00DD77AF"/>
    <w:rsid w:val="00E74C8F"/>
    <w:rsid w:val="00EF03F3"/>
    <w:rsid w:val="00F10BC1"/>
    <w:rsid w:val="00F11923"/>
    <w:rsid w:val="00F25B6A"/>
    <w:rsid w:val="00F50D11"/>
    <w:rsid w:val="00F83FC2"/>
    <w:rsid w:val="00F92368"/>
    <w:rsid w:val="00FE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8BD4"/>
  <w15:chartTrackingRefBased/>
  <w15:docId w15:val="{5B722B26-DC46-4DCD-8CA4-7CD3527A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C01"/>
    <w:rPr>
      <w:kern w:val="0"/>
      <w14:ligatures w14:val="none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BE4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E4C01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E4C0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E4C01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9C24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tsinformation.dk/eli/lta/2025/1336" TargetMode="Externa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-lex.europa.eu/legal-content/DA/TXT/?uri=OJ:L_202501156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-lex.europa.eu/legal-content/DA/TXT/?uri=OJ:L_202501246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eur-lex.europa.eu/legal-content/DA/TXT/?uri=CELEX:32025R215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etsinformation.dk/eli/retsinfo/2025/10091" TargetMode="External"/><Relationship Id="rId14" Type="http://schemas.openxmlformats.org/officeDocument/2006/relationships/hyperlink" Target="mailto:cas@equitylaw.dk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167DF4E06F5744B57C6F8BE5F564CB" ma:contentTypeVersion="20" ma:contentTypeDescription="Opret et nyt dokument." ma:contentTypeScope="" ma:versionID="4c9fdd3f57380a66db669e25b35dd481">
  <xsd:schema xmlns:xsd="http://www.w3.org/2001/XMLSchema" xmlns:xs="http://www.w3.org/2001/XMLSchema" xmlns:p="http://schemas.microsoft.com/office/2006/metadata/properties" xmlns:ns2="e1ad0fee-deb7-4d11-8342-64349c8749bc" xmlns:ns3="547d2aa7-4697-4679-89a8-f7ed825373f6" targetNamespace="http://schemas.microsoft.com/office/2006/metadata/properties" ma:root="true" ma:fieldsID="0701e95dae96647187809806b243026f" ns2:_="" ns3:_="">
    <xsd:import namespace="e1ad0fee-deb7-4d11-8342-64349c8749bc"/>
    <xsd:import namespace="547d2aa7-4697-4679-89a8-f7ed82537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d0fee-deb7-4d11-8342-64349c8749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d399327e-dec2-4cfd-b9e4-ed826a3a2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d2aa7-4697-4679-89a8-f7ed82537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47f4b9-575f-4bb9-9f4d-53a5a71db9dd}" ma:internalName="TaxCatchAll" ma:showField="CatchAllData" ma:web="547d2aa7-4697-4679-89a8-f7ed82537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d2aa7-4697-4679-89a8-f7ed825373f6" xsi:nil="true"/>
    <lcf76f155ced4ddcb4097134ff3c332f xmlns="e1ad0fee-deb7-4d11-8342-64349c8749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DFC98C-0845-4A94-8D81-1ABEEB673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ad0fee-deb7-4d11-8342-64349c8749bc"/>
    <ds:schemaRef ds:uri="547d2aa7-4697-4679-89a8-f7ed82537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4AD3D-F638-4681-B165-D4FC1736A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AF082-B58A-4F52-A56E-EC4AEF91AEFB}">
  <ds:schemaRefs>
    <ds:schemaRef ds:uri="http://schemas.microsoft.com/office/2006/metadata/properties"/>
    <ds:schemaRef ds:uri="http://schemas.microsoft.com/office/infopath/2007/PartnerControls"/>
    <ds:schemaRef ds:uri="547d2aa7-4697-4679-89a8-f7ed825373f6"/>
    <ds:schemaRef ds:uri="e1ad0fee-deb7-4d11-8342-64349c8749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774</Words>
  <Characters>4725</Characters>
  <Application>Microsoft Office Word</Application>
  <DocSecurity>0</DocSecurity>
  <Lines>39</Lines>
  <Paragraphs>10</Paragraphs>
  <ScaleCrop>false</ScaleCrop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Søborg</dc:creator>
  <cp:keywords/>
  <dc:description/>
  <cp:lastModifiedBy>Camilla Søborg</cp:lastModifiedBy>
  <cp:revision>67</cp:revision>
  <cp:lastPrinted>2025-12-02T08:16:00Z</cp:lastPrinted>
  <dcterms:created xsi:type="dcterms:W3CDTF">2025-11-05T09:22:00Z</dcterms:created>
  <dcterms:modified xsi:type="dcterms:W3CDTF">2025-12-02T09:33:00Z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0x0101003E167DF4E06F5744B57C6F8BE5F564CB</vt:lpwstr>
  </property>
  <property fmtid="{D5CDD505-2E9C-101B-9397-08002B2CF9AE}" pid="3" name="MediaServiceImageTags">
    <vt:lpwstr/>
  </property>
</Properties>
</file>