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0835" w14:textId="77777777" w:rsidR="00BE4C01" w:rsidRPr="008A1C76" w:rsidRDefault="00BE4C01" w:rsidP="00BE4C01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8A1C76">
        <w:rPr>
          <w:sz w:val="28"/>
          <w:szCs w:val="28"/>
        </w:rPr>
        <w:t>y finansiel regulering</w:t>
      </w:r>
      <w:r>
        <w:rPr>
          <w:sz w:val="28"/>
          <w:szCs w:val="28"/>
        </w:rPr>
        <w:t xml:space="preserve"> for fondsmæglerselskaber</w:t>
      </w:r>
      <w:r w:rsidRPr="008A1C76">
        <w:rPr>
          <w:sz w:val="28"/>
          <w:szCs w:val="28"/>
        </w:rPr>
        <w:t xml:space="preserve"> </w:t>
      </w:r>
    </w:p>
    <w:p w14:paraId="300EB7E4" w14:textId="25AC9AAC" w:rsidR="00BE4C01" w:rsidRDefault="00BE4C01" w:rsidP="00BE4C01">
      <w:pPr>
        <w:jc w:val="both"/>
      </w:pPr>
      <w:r>
        <w:t>O</w:t>
      </w:r>
      <w:r w:rsidRPr="005A5267">
        <w:t xml:space="preserve">pdatering for </w:t>
      </w:r>
      <w:r w:rsidR="006C492D">
        <w:t>december</w:t>
      </w:r>
      <w:r w:rsidRPr="005A5267">
        <w:t xml:space="preserve"> </w:t>
      </w:r>
      <w:r>
        <w:t xml:space="preserve">måned </w:t>
      </w:r>
      <w:r w:rsidRPr="005A5267">
        <w:t>202</w:t>
      </w:r>
      <w:r w:rsidR="004044A5">
        <w:t>5</w:t>
      </w:r>
    </w:p>
    <w:p w14:paraId="0904A2B4" w14:textId="77777777" w:rsidR="00E44B28" w:rsidRDefault="00E44B28" w:rsidP="00BE4C01">
      <w:pPr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4C01" w14:paraId="00166C89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6AB36AD5" w14:textId="79E26B0B" w:rsidR="00BE4C01" w:rsidRPr="005945AC" w:rsidRDefault="005945AC">
            <w:pPr>
              <w:rPr>
                <w:b/>
                <w:bCs/>
              </w:rPr>
            </w:pPr>
            <w:r w:rsidRPr="005945AC">
              <w:rPr>
                <w:b/>
                <w:bCs/>
              </w:rPr>
              <w:t>OVERBLIK</w:t>
            </w:r>
          </w:p>
        </w:tc>
      </w:tr>
      <w:tr w:rsidR="00BE4C01" w14:paraId="19A8CD66" w14:textId="77777777" w:rsidTr="00BE4C01">
        <w:tc>
          <w:tcPr>
            <w:tcW w:w="9628" w:type="dxa"/>
          </w:tcPr>
          <w:p w14:paraId="35E9B4C7" w14:textId="77777777" w:rsidR="00BE4C01" w:rsidRDefault="00BE4C01"/>
          <w:p w14:paraId="75AB65FE" w14:textId="5B423D3E" w:rsidR="0092694C" w:rsidRDefault="00B4734B">
            <w:r>
              <w:t xml:space="preserve">Udskydelsen af krav til bæredygtighedsrapportering vedtaget: </w:t>
            </w:r>
            <w:hyperlink w:anchor="A" w:history="1">
              <w:r w:rsidR="009D0FC9" w:rsidRPr="009D0FC9">
                <w:rPr>
                  <w:rStyle w:val="Hyperlink"/>
                </w:rPr>
                <w:t>link</w:t>
              </w:r>
            </w:hyperlink>
          </w:p>
          <w:p w14:paraId="50D5A8ED" w14:textId="77777777" w:rsidR="009D0FC9" w:rsidRDefault="009D0FC9"/>
          <w:p w14:paraId="16AF9FC3" w14:textId="77777777" w:rsidR="00E1204A" w:rsidRDefault="002579B0">
            <w:r>
              <w:t xml:space="preserve">Krav til reduktion </w:t>
            </w:r>
            <w:r w:rsidR="00E14BC7">
              <w:t>af koncentrationsrisiko</w:t>
            </w:r>
            <w:r>
              <w:t xml:space="preserve"> mod en central</w:t>
            </w:r>
            <w:r w:rsidR="00E14BC7">
              <w:t xml:space="preserve"> modpart:</w:t>
            </w:r>
            <w:r w:rsidR="00E1204A">
              <w:t xml:space="preserve"> </w:t>
            </w:r>
            <w:hyperlink w:anchor="B" w:history="1">
              <w:r w:rsidR="00E1204A" w:rsidRPr="00E1204A">
                <w:rPr>
                  <w:rStyle w:val="Hyperlink"/>
                </w:rPr>
                <w:t>link</w:t>
              </w:r>
            </w:hyperlink>
          </w:p>
          <w:p w14:paraId="4B2F8D45" w14:textId="77777777" w:rsidR="00E1204A" w:rsidRDefault="00E1204A"/>
          <w:p w14:paraId="7CD254F8" w14:textId="16D5A5F2" w:rsidR="00B852F1" w:rsidRDefault="00B852F1">
            <w:r>
              <w:t xml:space="preserve">Ny bekendtgørelse af lov om fondsmæglerselskaber og investeringsservice og -aktiviteter: </w:t>
            </w:r>
            <w:hyperlink w:anchor="C" w:history="1">
              <w:r w:rsidRPr="00B852F1">
                <w:rPr>
                  <w:rStyle w:val="Hyperlink"/>
                </w:rPr>
                <w:t>link</w:t>
              </w:r>
            </w:hyperlink>
          </w:p>
          <w:p w14:paraId="621D3DB8" w14:textId="77777777" w:rsidR="00B852F1" w:rsidRDefault="00B852F1"/>
          <w:p w14:paraId="35766414" w14:textId="235FB01B" w:rsidR="009D0FC9" w:rsidRDefault="00B852F1">
            <w:r>
              <w:t>Ny bekendtgørelse af</w:t>
            </w:r>
            <w:r w:rsidR="00E14BC7">
              <w:t xml:space="preserve"> </w:t>
            </w:r>
            <w:r w:rsidRPr="00B852F1">
              <w:t>lov om kapitalmarkeder</w:t>
            </w:r>
            <w:r>
              <w:t xml:space="preserve">: </w:t>
            </w:r>
            <w:hyperlink w:anchor="D" w:history="1">
              <w:r w:rsidRPr="00B852F1">
                <w:rPr>
                  <w:rStyle w:val="Hyperlink"/>
                </w:rPr>
                <w:t>link</w:t>
              </w:r>
            </w:hyperlink>
          </w:p>
          <w:p w14:paraId="2B586A00" w14:textId="77777777" w:rsidR="00B852F1" w:rsidRDefault="00B852F1"/>
          <w:p w14:paraId="369C53C0" w14:textId="797D378C" w:rsidR="00B852F1" w:rsidRDefault="00F1753B">
            <w:r>
              <w:t>Orientering</w:t>
            </w:r>
            <w:r w:rsidR="00A324CF">
              <w:t xml:space="preserve"> fra Finanstilsynet om ny digital indberetning: </w:t>
            </w:r>
            <w:hyperlink w:anchor="E" w:history="1">
              <w:r w:rsidR="00A324CF" w:rsidRPr="00A324CF">
                <w:rPr>
                  <w:rStyle w:val="Hyperlink"/>
                </w:rPr>
                <w:t>link</w:t>
              </w:r>
            </w:hyperlink>
          </w:p>
          <w:p w14:paraId="774E809C" w14:textId="77777777" w:rsidR="0092694C" w:rsidRDefault="0092694C"/>
        </w:tc>
      </w:tr>
      <w:tr w:rsidR="00BE4C01" w14:paraId="531CF982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7BDC7261" w14:textId="6D8F2E20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DANSK REGULERING</w:t>
            </w:r>
          </w:p>
        </w:tc>
      </w:tr>
      <w:tr w:rsidR="00BE4C01" w14:paraId="31E09EBE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199CDD40" w14:textId="62239D98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 xml:space="preserve"> Love</w:t>
            </w:r>
          </w:p>
        </w:tc>
      </w:tr>
      <w:tr w:rsidR="00BE4C01" w14:paraId="786DA9D6" w14:textId="77777777" w:rsidTr="00BE4C01">
        <w:tc>
          <w:tcPr>
            <w:tcW w:w="9628" w:type="dxa"/>
          </w:tcPr>
          <w:p w14:paraId="720BEAF6" w14:textId="77777777" w:rsidR="00BE4C01" w:rsidRDefault="00BE4C01"/>
          <w:p w14:paraId="08488647" w14:textId="13B973E0" w:rsidR="003F7F1B" w:rsidRPr="002A2F36" w:rsidRDefault="0092694C" w:rsidP="003F7F1B">
            <w:pPr>
              <w:jc w:val="both"/>
            </w:pPr>
            <w:bookmarkStart w:id="0" w:name="A"/>
            <w:r>
              <w:rPr>
                <w:b/>
                <w:bCs/>
              </w:rPr>
              <w:t>Lov</w:t>
            </w:r>
            <w:r w:rsidRPr="0092694C">
              <w:rPr>
                <w:b/>
                <w:bCs/>
              </w:rPr>
              <w:t xml:space="preserve"> nr</w:t>
            </w:r>
            <w:r>
              <w:rPr>
                <w:b/>
                <w:bCs/>
              </w:rPr>
              <w:t>.</w:t>
            </w:r>
            <w:r w:rsidRPr="0092694C">
              <w:rPr>
                <w:b/>
                <w:bCs/>
              </w:rPr>
              <w:t xml:space="preserve"> 1636 af 16</w:t>
            </w:r>
            <w:r>
              <w:rPr>
                <w:b/>
                <w:bCs/>
              </w:rPr>
              <w:t xml:space="preserve">. december </w:t>
            </w:r>
            <w:r w:rsidRPr="0092694C">
              <w:rPr>
                <w:b/>
                <w:bCs/>
              </w:rPr>
              <w:t>2025</w:t>
            </w:r>
            <w:r>
              <w:rPr>
                <w:b/>
                <w:bCs/>
              </w:rPr>
              <w:t xml:space="preserve"> </w:t>
            </w:r>
            <w:r w:rsidR="003F7F1B" w:rsidRPr="002A2F36">
              <w:rPr>
                <w:b/>
                <w:bCs/>
              </w:rPr>
              <w:t>om ændring af årsregnskabsloven, lov om finansiel virksomhed, lov om forsikringsvirksomhed og lov om fondsmæglerselskaber og investeringsservice og -aktiviteter</w:t>
            </w:r>
            <w:r w:rsidR="003F7F1B">
              <w:rPr>
                <w:b/>
                <w:bCs/>
              </w:rPr>
              <w:t xml:space="preserve"> </w:t>
            </w:r>
            <w:r w:rsidR="003F7F1B" w:rsidRPr="002A2F36">
              <w:rPr>
                <w:b/>
                <w:bCs/>
              </w:rPr>
              <w:t>(Udskydelse af virksomheders pligt til rapportering om bæredygtighed og afregistrering af revisorer eller uafhængige erklæringsudbydere vedrørende bæredygtighedsrapportering)</w:t>
            </w:r>
          </w:p>
          <w:bookmarkEnd w:id="0"/>
          <w:p w14:paraId="7463E4FA" w14:textId="77777777" w:rsidR="00C41B0B" w:rsidRDefault="00C41B0B" w:rsidP="003F7F1B">
            <w:pPr>
              <w:jc w:val="both"/>
            </w:pPr>
          </w:p>
          <w:p w14:paraId="128EF98B" w14:textId="53F034D3" w:rsidR="003F7F1B" w:rsidRPr="00E56F92" w:rsidRDefault="003F7F1B" w:rsidP="003F7F1B">
            <w:pPr>
              <w:jc w:val="both"/>
            </w:pPr>
            <w:r>
              <w:t>Loven</w:t>
            </w:r>
            <w:r w:rsidRPr="00E56F92">
              <w:t xml:space="preserve"> gennemføre</w:t>
            </w:r>
            <w:r>
              <w:t>r</w:t>
            </w:r>
            <w:r w:rsidRPr="00E56F92">
              <w:t xml:space="preserve"> dele af Europa-Parlamentets og Rådets Direktiv (EU) 2025/794 (Stop-the-</w:t>
            </w:r>
            <w:proofErr w:type="spellStart"/>
            <w:r w:rsidRPr="00E56F92">
              <w:t>clock</w:t>
            </w:r>
            <w:proofErr w:type="spellEnd"/>
            <w:r w:rsidRPr="00E56F92">
              <w:t>-direktivet). Formålet med Stop-the-</w:t>
            </w:r>
            <w:proofErr w:type="spellStart"/>
            <w:r w:rsidRPr="00E56F92">
              <w:t>clock</w:t>
            </w:r>
            <w:proofErr w:type="spellEnd"/>
            <w:r w:rsidRPr="00E56F92">
              <w:t xml:space="preserve">-direktivet er at udskyde virkningen af bæredygtighedsdirektivet med to år for de virksomheder, som </w:t>
            </w:r>
            <w:r w:rsidR="00C47A7A">
              <w:t>skulle have været</w:t>
            </w:r>
            <w:r w:rsidRPr="00E56F92">
              <w:t xml:space="preserve"> omfattet fra henholdsvis regnskabsåret 2025 og 2026. Udskydelsen af virkningen af bæredygtighedsdirektivets anvendelsestidspunkt gælder tilsvarende for finansielle virksomheder</w:t>
            </w:r>
            <w:r w:rsidR="003B3D32">
              <w:t xml:space="preserve"> (herunder fondsmæglerselskaber)</w:t>
            </w:r>
            <w:r w:rsidRPr="00E56F92">
              <w:t>, hvor virkningstidspunktet i stedet reguleres i Finanstilsynets regnskabsbekendtgørelser.</w:t>
            </w:r>
          </w:p>
          <w:p w14:paraId="38F709AE" w14:textId="77777777" w:rsidR="00C41B0B" w:rsidRDefault="00C41B0B" w:rsidP="003F7F1B">
            <w:pPr>
              <w:jc w:val="both"/>
            </w:pPr>
          </w:p>
          <w:p w14:paraId="392A47F9" w14:textId="6F22ACD2" w:rsidR="00AE041F" w:rsidRPr="00AE041F" w:rsidRDefault="00AE041F" w:rsidP="00AE041F">
            <w:pPr>
              <w:jc w:val="both"/>
            </w:pPr>
            <w:r w:rsidRPr="00AE041F">
              <w:t xml:space="preserve">Som konsekvens af udskydelsen af tidspunktet for rapporteringspligtens indtræden, udskydes tilsvarende </w:t>
            </w:r>
            <w:r w:rsidR="003A2E57">
              <w:t>fondsmæglerselskabers</w:t>
            </w:r>
            <w:r w:rsidRPr="00AE041F">
              <w:t xml:space="preserve"> pligt til at vælge en revisor eller uafhængig erklæringsudbyder til at afgive erklæring om bæredygtighedsrapporteringen.</w:t>
            </w:r>
            <w:r w:rsidR="003A2E57">
              <w:t xml:space="preserve"> </w:t>
            </w:r>
            <w:r w:rsidR="00CA72BC">
              <w:t xml:space="preserve">For </w:t>
            </w:r>
            <w:r w:rsidR="00152C71">
              <w:t>fondsmæglerselskaber</w:t>
            </w:r>
            <w:r w:rsidRPr="00AE041F">
              <w:t xml:space="preserve">, der før den 31. december 2025 har valgt en eller flere revisorer eller uafhængige erklæringsudbydere at afgive erklæring om bæredygtighedsrapportering, </w:t>
            </w:r>
            <w:r w:rsidR="00CC4493">
              <w:t xml:space="preserve">fastsættes det, at </w:t>
            </w:r>
            <w:r w:rsidRPr="00AE041F">
              <w:t xml:space="preserve">afregistrering af revisoren eller den uafhængige erklæringsudbyder ikke </w:t>
            </w:r>
            <w:r w:rsidR="00CC4493">
              <w:t xml:space="preserve">kræver </w:t>
            </w:r>
            <w:r w:rsidRPr="00AE041F">
              <w:t>særskilt vedtagelse</w:t>
            </w:r>
            <w:r w:rsidR="00FF1A99">
              <w:t xml:space="preserve"> af generalforsamlingen</w:t>
            </w:r>
            <w:r w:rsidRPr="00AE041F">
              <w:t>.</w:t>
            </w:r>
          </w:p>
          <w:p w14:paraId="51542E89" w14:textId="77777777" w:rsidR="003B3D32" w:rsidRDefault="003B3D32" w:rsidP="003F7F1B">
            <w:pPr>
              <w:jc w:val="both"/>
            </w:pPr>
          </w:p>
          <w:p w14:paraId="1208109B" w14:textId="375452BE" w:rsidR="003F7F1B" w:rsidRDefault="003F7F1B" w:rsidP="003F7F1B">
            <w:pPr>
              <w:jc w:val="both"/>
            </w:pPr>
            <w:r>
              <w:t xml:space="preserve">(Vedtaget den 2. december 2025, </w:t>
            </w:r>
            <w:hyperlink r:id="rId9" w:history="1">
              <w:r w:rsidRPr="00622A2D">
                <w:rPr>
                  <w:rStyle w:val="Hyperlink"/>
                </w:rPr>
                <w:t>link</w:t>
              </w:r>
            </w:hyperlink>
            <w:r w:rsidR="00350FBD">
              <w:t xml:space="preserve"> og </w:t>
            </w:r>
            <w:hyperlink r:id="rId10" w:history="1">
              <w:r w:rsidR="00350FBD" w:rsidRPr="00350FBD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4CAF9DE0" w14:textId="77777777" w:rsidR="003F7F1B" w:rsidRDefault="003F7F1B"/>
          <w:p w14:paraId="3C930AD8" w14:textId="77777777" w:rsidR="00E44B28" w:rsidRDefault="00E44B28"/>
          <w:p w14:paraId="627B6E42" w14:textId="18A1F626" w:rsidR="002409F8" w:rsidRDefault="00FB77F6" w:rsidP="002409F8">
            <w:pPr>
              <w:jc w:val="both"/>
            </w:pPr>
            <w:bookmarkStart w:id="1" w:name="B"/>
            <w:r>
              <w:rPr>
                <w:b/>
                <w:bCs/>
              </w:rPr>
              <w:t>Lov</w:t>
            </w:r>
            <w:r w:rsidRPr="00FB77F6">
              <w:rPr>
                <w:b/>
                <w:bCs/>
              </w:rPr>
              <w:t xml:space="preserve"> nr</w:t>
            </w:r>
            <w:r>
              <w:rPr>
                <w:b/>
                <w:bCs/>
              </w:rPr>
              <w:t>.</w:t>
            </w:r>
            <w:r w:rsidRPr="00FB77F6">
              <w:rPr>
                <w:b/>
                <w:bCs/>
              </w:rPr>
              <w:t xml:space="preserve"> 1638 af 16</w:t>
            </w:r>
            <w:r>
              <w:rPr>
                <w:b/>
                <w:bCs/>
              </w:rPr>
              <w:t xml:space="preserve">. december </w:t>
            </w:r>
            <w:r w:rsidRPr="00FB77F6">
              <w:rPr>
                <w:b/>
                <w:bCs/>
              </w:rPr>
              <w:t>2025</w:t>
            </w:r>
            <w:r w:rsidR="002409F8" w:rsidRPr="00D977C3">
              <w:rPr>
                <w:b/>
                <w:bCs/>
              </w:rPr>
              <w:t xml:space="preserve"> om ændring af lov om kapitalmarkeder, lov om finansiel virksomhed, lov om investeringsforeninger m.v. og forskellige andre love</w:t>
            </w:r>
            <w:r w:rsidR="002409F8">
              <w:rPr>
                <w:b/>
                <w:bCs/>
              </w:rPr>
              <w:t xml:space="preserve"> </w:t>
            </w:r>
            <w:r w:rsidR="002409F8" w:rsidRPr="00D977C3">
              <w:rPr>
                <w:b/>
                <w:bCs/>
              </w:rPr>
              <w:t>(Ophævelse af national prospektgrænse, delvis ophævelse af forbud mod aktieklasser i finansielle virksomheder, forsikringsselskaber og fondsmæglerselskaber, ændring af offentliggørelseskrav ved optagelse til handel på en multilateral handelsfacilitet, styrkelse af Finanstilsynets uafhængighed m.v.)</w:t>
            </w:r>
          </w:p>
          <w:bookmarkEnd w:id="1"/>
          <w:p w14:paraId="7208BE1B" w14:textId="77777777" w:rsidR="00710052" w:rsidRDefault="00710052" w:rsidP="002409F8">
            <w:pPr>
              <w:jc w:val="both"/>
            </w:pPr>
          </w:p>
          <w:p w14:paraId="69BA5E0B" w14:textId="77777777" w:rsidR="005B1554" w:rsidRDefault="002409F8" w:rsidP="002409F8">
            <w:pPr>
              <w:jc w:val="both"/>
            </w:pPr>
            <w:r>
              <w:t xml:space="preserve">Loven </w:t>
            </w:r>
            <w:r w:rsidRPr="001E18B4">
              <w:t>gennemføre</w:t>
            </w:r>
            <w:r>
              <w:t>r</w:t>
            </w:r>
            <w:r w:rsidR="005B1554">
              <w:t xml:space="preserve"> bl.a. dele af</w:t>
            </w:r>
            <w:r w:rsidRPr="001E18B4">
              <w:t xml:space="preserve"> </w:t>
            </w:r>
            <w:proofErr w:type="spellStart"/>
            <w:r w:rsidRPr="001E18B4">
              <w:t>Listing</w:t>
            </w:r>
            <w:proofErr w:type="spellEnd"/>
            <w:r w:rsidRPr="001E18B4">
              <w:t xml:space="preserve"> </w:t>
            </w:r>
            <w:proofErr w:type="spellStart"/>
            <w:r w:rsidRPr="001E18B4">
              <w:t>Act</w:t>
            </w:r>
            <w:proofErr w:type="spellEnd"/>
            <w:r w:rsidRPr="001E18B4">
              <w:t>.</w:t>
            </w:r>
          </w:p>
          <w:p w14:paraId="3441C3A0" w14:textId="29F2FC00" w:rsidR="002409F8" w:rsidRPr="001E18B4" w:rsidRDefault="002409F8" w:rsidP="002409F8">
            <w:pPr>
              <w:jc w:val="both"/>
            </w:pPr>
            <w:r w:rsidRPr="001E18B4">
              <w:lastRenderedPageBreak/>
              <w:t xml:space="preserve"> </w:t>
            </w:r>
          </w:p>
          <w:p w14:paraId="6C1A17BE" w14:textId="4E571CD1" w:rsidR="002409F8" w:rsidRPr="001E18B4" w:rsidRDefault="009C05F6" w:rsidP="002409F8">
            <w:pPr>
              <w:jc w:val="both"/>
            </w:pPr>
            <w:r>
              <w:t xml:space="preserve">Af direkte relevans for fondsmæglerselskaber </w:t>
            </w:r>
            <w:r w:rsidR="002409F8" w:rsidRPr="001E18B4">
              <w:t>medføre</w:t>
            </w:r>
            <w:r w:rsidR="002409F8">
              <w:t xml:space="preserve">r </w:t>
            </w:r>
            <w:r>
              <w:t xml:space="preserve">loven </w:t>
            </w:r>
            <w:r w:rsidR="002409F8">
              <w:t>bl.a.</w:t>
            </w:r>
            <w:r w:rsidR="002409F8" w:rsidRPr="001E18B4">
              <w:t>, at</w:t>
            </w:r>
            <w:r w:rsidR="00E274DB">
              <w:t xml:space="preserve"> </w:t>
            </w:r>
            <w:r w:rsidR="002409F8" w:rsidRPr="001E18B4">
              <w:t>Finanstilsynet kan pålægge fondsmæglerselskaber at reducere eksponeringer mod en central modpart eller at tilpasse eksponeringer på tværs af deres clearingkonti i overensstemmelse med artikel 7 a i EMIR, i tilfælde af en uforholdsmæssigt høj koncentrationsrisiko mod den pågældende centrale modpart.</w:t>
            </w:r>
          </w:p>
          <w:p w14:paraId="2E60A5E1" w14:textId="77777777" w:rsidR="00D20F42" w:rsidRDefault="00D20F42" w:rsidP="002409F8">
            <w:pPr>
              <w:jc w:val="both"/>
            </w:pPr>
          </w:p>
          <w:p w14:paraId="696BF6AA" w14:textId="3BE5CFAA" w:rsidR="002409F8" w:rsidRPr="001E18B4" w:rsidRDefault="00480E76" w:rsidP="002409F8">
            <w:pPr>
              <w:jc w:val="both"/>
            </w:pPr>
            <w:r>
              <w:t xml:space="preserve">De nævnte ændringer trådte </w:t>
            </w:r>
            <w:r w:rsidR="002409F8" w:rsidRPr="001E18B4">
              <w:t>i kraft den 1. januar 2026.</w:t>
            </w:r>
          </w:p>
          <w:p w14:paraId="64148582" w14:textId="77777777" w:rsidR="00710052" w:rsidRDefault="00710052" w:rsidP="002409F8">
            <w:pPr>
              <w:jc w:val="both"/>
            </w:pPr>
          </w:p>
          <w:p w14:paraId="6DE2D4BC" w14:textId="66479B0F" w:rsidR="002409F8" w:rsidRDefault="002409F8" w:rsidP="002409F8">
            <w:pPr>
              <w:jc w:val="both"/>
            </w:pPr>
            <w:r>
              <w:t xml:space="preserve">(Vedtaget den 4. december 2025, </w:t>
            </w:r>
            <w:hyperlink r:id="rId11" w:history="1">
              <w:r w:rsidRPr="00294CB4">
                <w:rPr>
                  <w:rStyle w:val="Hyperlink"/>
                </w:rPr>
                <w:t>link</w:t>
              </w:r>
            </w:hyperlink>
            <w:r w:rsidR="00B7005E">
              <w:t xml:space="preserve"> og </w:t>
            </w:r>
            <w:hyperlink r:id="rId12" w:history="1">
              <w:r w:rsidR="00B7005E" w:rsidRPr="00B7005E">
                <w:rPr>
                  <w:rStyle w:val="Hyperlink"/>
                </w:rPr>
                <w:t>lin</w:t>
              </w:r>
              <w:r w:rsidR="00B7005E" w:rsidRPr="00B7005E">
                <w:rPr>
                  <w:rStyle w:val="Hyperlink"/>
                </w:rPr>
                <w:t>k</w:t>
              </w:r>
            </w:hyperlink>
            <w:r>
              <w:t>)</w:t>
            </w:r>
          </w:p>
          <w:p w14:paraId="6A6C9420" w14:textId="77777777" w:rsidR="002409F8" w:rsidRDefault="002409F8"/>
          <w:p w14:paraId="11CBBD5C" w14:textId="77777777" w:rsidR="00FD48E7" w:rsidRDefault="00FD48E7"/>
          <w:p w14:paraId="3D2D38F1" w14:textId="77777777" w:rsidR="001D307D" w:rsidRDefault="001D307D" w:rsidP="001D307D">
            <w:pPr>
              <w:jc w:val="both"/>
            </w:pPr>
            <w:bookmarkStart w:id="2" w:name="C"/>
            <w:r w:rsidRPr="00293A17">
              <w:rPr>
                <w:b/>
                <w:bCs/>
              </w:rPr>
              <w:t>Bekendtgørelse</w:t>
            </w:r>
            <w:r w:rsidRPr="00385D4D">
              <w:t xml:space="preserve"> </w:t>
            </w:r>
            <w:r w:rsidRPr="00385D4D">
              <w:rPr>
                <w:b/>
                <w:bCs/>
              </w:rPr>
              <w:t>nr</w:t>
            </w:r>
            <w:r>
              <w:rPr>
                <w:b/>
                <w:bCs/>
              </w:rPr>
              <w:t>.</w:t>
            </w:r>
            <w:r w:rsidRPr="00385D4D">
              <w:rPr>
                <w:b/>
                <w:bCs/>
              </w:rPr>
              <w:t xml:space="preserve"> 1438 af 18</w:t>
            </w:r>
            <w:r>
              <w:rPr>
                <w:b/>
                <w:bCs/>
              </w:rPr>
              <w:t xml:space="preserve">. november </w:t>
            </w:r>
            <w:r w:rsidRPr="00385D4D">
              <w:rPr>
                <w:b/>
                <w:bCs/>
              </w:rPr>
              <w:t>2025</w:t>
            </w:r>
            <w:r w:rsidRPr="00293A17">
              <w:rPr>
                <w:b/>
                <w:bCs/>
              </w:rPr>
              <w:t xml:space="preserve"> af lov om fondsmæglerselskaber og investeringsservice og -aktiviteter</w:t>
            </w:r>
          </w:p>
          <w:bookmarkEnd w:id="2"/>
          <w:p w14:paraId="4BD92EC4" w14:textId="77777777" w:rsidR="00BA60EA" w:rsidRDefault="00BA60EA" w:rsidP="001D307D">
            <w:pPr>
              <w:jc w:val="both"/>
            </w:pPr>
          </w:p>
          <w:p w14:paraId="0AEE3FE2" w14:textId="7C739AAA" w:rsidR="001D307D" w:rsidRDefault="00BA60EA" w:rsidP="001D307D">
            <w:pPr>
              <w:jc w:val="both"/>
            </w:pPr>
            <w:r>
              <w:t>En n</w:t>
            </w:r>
            <w:r w:rsidR="001D307D">
              <w:t>y lovbekendtgørelse er offentliggjort.</w:t>
            </w:r>
          </w:p>
          <w:p w14:paraId="7516E200" w14:textId="77777777" w:rsidR="00BA60EA" w:rsidRDefault="00BA60EA" w:rsidP="001D307D">
            <w:pPr>
              <w:jc w:val="both"/>
            </w:pPr>
          </w:p>
          <w:p w14:paraId="71157BC5" w14:textId="65E3F40F" w:rsidR="001D307D" w:rsidRDefault="001D307D" w:rsidP="001D307D">
            <w:pPr>
              <w:jc w:val="both"/>
            </w:pPr>
            <w:r>
              <w:t xml:space="preserve">(Offentliggjort den 3. december 2025, </w:t>
            </w:r>
            <w:hyperlink r:id="rId13" w:history="1">
              <w:r w:rsidRPr="00293A17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375F09DD" w14:textId="77777777" w:rsidR="001D307D" w:rsidRDefault="001D307D"/>
          <w:p w14:paraId="4818A157" w14:textId="77777777" w:rsidR="00FD48E7" w:rsidRDefault="00FD48E7"/>
          <w:p w14:paraId="79A4C39C" w14:textId="77777777" w:rsidR="00441721" w:rsidRPr="00293A17" w:rsidRDefault="00441721" w:rsidP="00441721">
            <w:pPr>
              <w:jc w:val="both"/>
              <w:rPr>
                <w:b/>
                <w:bCs/>
              </w:rPr>
            </w:pPr>
            <w:bookmarkStart w:id="3" w:name="D"/>
            <w:r w:rsidRPr="00293A17">
              <w:rPr>
                <w:b/>
                <w:bCs/>
              </w:rPr>
              <w:t>Bekendtgørelse</w:t>
            </w:r>
            <w:r w:rsidRPr="00193986">
              <w:t xml:space="preserve"> </w:t>
            </w:r>
            <w:r w:rsidRPr="00193986">
              <w:rPr>
                <w:b/>
                <w:bCs/>
              </w:rPr>
              <w:t>nr</w:t>
            </w:r>
            <w:r>
              <w:rPr>
                <w:b/>
                <w:bCs/>
              </w:rPr>
              <w:t>.</w:t>
            </w:r>
            <w:r w:rsidRPr="00193986">
              <w:rPr>
                <w:b/>
                <w:bCs/>
              </w:rPr>
              <w:t xml:space="preserve"> 1493 af 18</w:t>
            </w:r>
            <w:r>
              <w:rPr>
                <w:b/>
                <w:bCs/>
              </w:rPr>
              <w:t xml:space="preserve">. november </w:t>
            </w:r>
            <w:r w:rsidRPr="00193986">
              <w:rPr>
                <w:b/>
                <w:bCs/>
              </w:rPr>
              <w:t>2025</w:t>
            </w:r>
            <w:r w:rsidRPr="00293A17">
              <w:rPr>
                <w:b/>
                <w:bCs/>
              </w:rPr>
              <w:t xml:space="preserve"> af lov om kapitalmarkeder</w:t>
            </w:r>
          </w:p>
          <w:bookmarkEnd w:id="3"/>
          <w:p w14:paraId="243886E0" w14:textId="77777777" w:rsidR="00BA60EA" w:rsidRDefault="00BA60EA" w:rsidP="00441721">
            <w:pPr>
              <w:jc w:val="both"/>
            </w:pPr>
          </w:p>
          <w:p w14:paraId="40F11FE6" w14:textId="18107611" w:rsidR="00441721" w:rsidRDefault="00BA60EA" w:rsidP="00441721">
            <w:pPr>
              <w:jc w:val="both"/>
            </w:pPr>
            <w:r>
              <w:t>En n</w:t>
            </w:r>
            <w:r w:rsidR="00441721">
              <w:t>y lovbekendtgørelse er offentliggjort.</w:t>
            </w:r>
          </w:p>
          <w:p w14:paraId="4C503C18" w14:textId="77777777" w:rsidR="00BA60EA" w:rsidRDefault="00BA60EA" w:rsidP="00441721">
            <w:pPr>
              <w:jc w:val="both"/>
            </w:pPr>
          </w:p>
          <w:p w14:paraId="7D618781" w14:textId="4A8E333B" w:rsidR="00441721" w:rsidRDefault="00441721" w:rsidP="00441721">
            <w:pPr>
              <w:jc w:val="both"/>
            </w:pPr>
            <w:r>
              <w:t xml:space="preserve">(Offentliggjort den 5. december 2025, </w:t>
            </w:r>
            <w:hyperlink r:id="rId14" w:history="1">
              <w:r w:rsidRPr="00293A17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1136A53C" w14:textId="77777777" w:rsidR="003F7F1B" w:rsidRDefault="003F7F1B"/>
        </w:tc>
      </w:tr>
      <w:tr w:rsidR="00BE4C01" w14:paraId="46B86ADE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22197C0B" w14:textId="3757CD86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lastRenderedPageBreak/>
              <w:t>Bekendtgørelse</w:t>
            </w:r>
            <w:r w:rsidR="00136D9B">
              <w:rPr>
                <w:b/>
                <w:bCs/>
              </w:rPr>
              <w:t>r</w:t>
            </w:r>
            <w:r w:rsidRPr="005945AC">
              <w:rPr>
                <w:b/>
                <w:bCs/>
              </w:rPr>
              <w:t xml:space="preserve"> m.v.</w:t>
            </w:r>
          </w:p>
        </w:tc>
      </w:tr>
      <w:tr w:rsidR="00BE4C01" w14:paraId="159B5602" w14:textId="77777777" w:rsidTr="00BE4C01">
        <w:tc>
          <w:tcPr>
            <w:tcW w:w="9628" w:type="dxa"/>
          </w:tcPr>
          <w:p w14:paraId="00491E45" w14:textId="77777777" w:rsidR="00BE4C01" w:rsidRDefault="00BE4C01"/>
          <w:p w14:paraId="4ACA189A" w14:textId="77777777" w:rsidR="00A36FE5" w:rsidRPr="00A70C54" w:rsidRDefault="00A36FE5" w:rsidP="00A36FE5">
            <w:pPr>
              <w:jc w:val="both"/>
              <w:rPr>
                <w:b/>
                <w:bCs/>
              </w:rPr>
            </w:pPr>
            <w:bookmarkStart w:id="4" w:name="E"/>
            <w:r w:rsidRPr="00A70C54">
              <w:rPr>
                <w:b/>
                <w:bCs/>
              </w:rPr>
              <w:t>Ny digital indberetning af bestyrelsesgodkendte regnskabs- og revisionsdokumenter</w:t>
            </w:r>
          </w:p>
          <w:bookmarkEnd w:id="4"/>
          <w:p w14:paraId="4C9D8242" w14:textId="77777777" w:rsidR="00BA60EA" w:rsidRDefault="00BA60EA" w:rsidP="00A36FE5">
            <w:pPr>
              <w:jc w:val="both"/>
            </w:pPr>
          </w:p>
          <w:p w14:paraId="22CA8AAC" w14:textId="29E5E07C" w:rsidR="00A36FE5" w:rsidRPr="00F00B03" w:rsidRDefault="00261E3F" w:rsidP="00A36FE5">
            <w:pPr>
              <w:jc w:val="both"/>
            </w:pPr>
            <w:r>
              <w:t xml:space="preserve">Finanstilsynet har orienteret om, at </w:t>
            </w:r>
            <w:r w:rsidR="002D36DC">
              <w:t>finansielle virksomheder f</w:t>
            </w:r>
            <w:r w:rsidR="00A36FE5" w:rsidRPr="00F00B03">
              <w:t>ra starten af regnskabsåret 2026 skal indberette bestyrelsesgodkendte årsrapporter, revisionsprotokollater og andre relevante regnskabsdokumenter via den digitale indberetningsblanket ”Indberet bestyrelsesgodkendt årsrapporter og andre regnskabsdokumenter”, der ligger på virk.dk.</w:t>
            </w:r>
            <w:r w:rsidR="00067ADF">
              <w:t xml:space="preserve"> </w:t>
            </w:r>
            <w:r w:rsidR="00A36FE5" w:rsidRPr="00F00B03">
              <w:t>Den nye løsning ændrer ikke på fristen for indberetning af regnskabsdokumenter.</w:t>
            </w:r>
          </w:p>
          <w:p w14:paraId="225827AD" w14:textId="77777777" w:rsidR="001353D6" w:rsidRDefault="001353D6" w:rsidP="00A36FE5">
            <w:pPr>
              <w:jc w:val="both"/>
            </w:pPr>
          </w:p>
          <w:p w14:paraId="4F36BD3A" w14:textId="101F7856" w:rsidR="00A36FE5" w:rsidRDefault="00A36FE5" w:rsidP="00A36FE5">
            <w:pPr>
              <w:jc w:val="both"/>
              <w:rPr>
                <w:b/>
                <w:bCs/>
              </w:rPr>
            </w:pPr>
            <w:r>
              <w:t xml:space="preserve">(Offentliggjort den 16. december 2025, </w:t>
            </w:r>
            <w:hyperlink r:id="rId15" w:history="1">
              <w:r w:rsidRPr="00F00B03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2BE89B52" w14:textId="77777777" w:rsidR="00A36FE5" w:rsidRDefault="00A36FE5"/>
        </w:tc>
      </w:tr>
      <w:tr w:rsidR="00BE4C01" w14:paraId="2E8F680D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33F4D91" w14:textId="215F6731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EU-REGULERING (forordninger)</w:t>
            </w:r>
          </w:p>
        </w:tc>
      </w:tr>
      <w:tr w:rsidR="00BE4C01" w14:paraId="6AF8D239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C426A68" w14:textId="017C4220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1</w:t>
            </w:r>
          </w:p>
        </w:tc>
      </w:tr>
      <w:tr w:rsidR="00BE4C01" w14:paraId="1DF6C69F" w14:textId="77777777" w:rsidTr="00BE4C01">
        <w:tc>
          <w:tcPr>
            <w:tcW w:w="9628" w:type="dxa"/>
          </w:tcPr>
          <w:p w14:paraId="738F1A82" w14:textId="77777777" w:rsidR="00BE4C01" w:rsidRDefault="00BE4C01"/>
          <w:p w14:paraId="0E0A3A1C" w14:textId="7ABC45DB" w:rsidR="008A193E" w:rsidRDefault="008A193E">
            <w:r>
              <w:t>Intet nyt</w:t>
            </w:r>
            <w:r w:rsidR="00DF739C">
              <w:t>.</w:t>
            </w:r>
          </w:p>
          <w:p w14:paraId="010E559B" w14:textId="77777777" w:rsidR="008A193E" w:rsidRDefault="008A193E"/>
        </w:tc>
      </w:tr>
      <w:tr w:rsidR="00BE4C01" w14:paraId="33726393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5443431C" w14:textId="42CA405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2</w:t>
            </w:r>
          </w:p>
        </w:tc>
      </w:tr>
      <w:tr w:rsidR="00BE4C01" w14:paraId="041C1121" w14:textId="77777777" w:rsidTr="00BE4C01">
        <w:tc>
          <w:tcPr>
            <w:tcW w:w="9628" w:type="dxa"/>
          </w:tcPr>
          <w:p w14:paraId="1E0B7670" w14:textId="77777777" w:rsidR="00BE4C01" w:rsidRDefault="00BE4C01"/>
          <w:p w14:paraId="6C462F51" w14:textId="1E4550F0" w:rsidR="00DF739C" w:rsidRDefault="00DF739C">
            <w:r>
              <w:t>Intet nyt.</w:t>
            </w:r>
          </w:p>
          <w:p w14:paraId="570C0B58" w14:textId="77777777" w:rsidR="00DF739C" w:rsidRDefault="00DF739C"/>
        </w:tc>
      </w:tr>
      <w:tr w:rsidR="00BE4C01" w14:paraId="15D16C97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2EAF4AB2" w14:textId="47D47A5D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RETNINGSLINJER FRA ESA’ERNE</w:t>
            </w:r>
          </w:p>
        </w:tc>
      </w:tr>
      <w:tr w:rsidR="00BE4C01" w14:paraId="7EFB212B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8A36234" w14:textId="6C0B6A7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EBA</w:t>
            </w:r>
          </w:p>
        </w:tc>
      </w:tr>
      <w:tr w:rsidR="00BE4C01" w14:paraId="46B54A56" w14:textId="77777777" w:rsidTr="00BE4C01">
        <w:tc>
          <w:tcPr>
            <w:tcW w:w="9628" w:type="dxa"/>
          </w:tcPr>
          <w:p w14:paraId="58603CD7" w14:textId="77777777" w:rsidR="00BE4C01" w:rsidRDefault="00BE4C01"/>
          <w:p w14:paraId="5E78A404" w14:textId="4D86137C" w:rsidR="00DF739C" w:rsidRDefault="00DF739C">
            <w:r>
              <w:lastRenderedPageBreak/>
              <w:t>Intet nyt.</w:t>
            </w:r>
          </w:p>
          <w:p w14:paraId="5E1E2D1B" w14:textId="77777777" w:rsidR="00DF739C" w:rsidRDefault="00DF739C"/>
        </w:tc>
      </w:tr>
      <w:tr w:rsidR="00BE4C01" w14:paraId="2CFF0838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1FEF4B9" w14:textId="752585A1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lastRenderedPageBreak/>
              <w:t>ESMA</w:t>
            </w:r>
          </w:p>
        </w:tc>
      </w:tr>
      <w:tr w:rsidR="00BE4C01" w14:paraId="7F315866" w14:textId="77777777" w:rsidTr="00BE4C01">
        <w:tc>
          <w:tcPr>
            <w:tcW w:w="9628" w:type="dxa"/>
          </w:tcPr>
          <w:p w14:paraId="29D77901" w14:textId="77777777" w:rsidR="00BE4C01" w:rsidRDefault="00BE4C01"/>
          <w:p w14:paraId="12144048" w14:textId="3205F434" w:rsidR="00DF739C" w:rsidRDefault="00DF739C">
            <w:r>
              <w:t>Intet nyt.</w:t>
            </w:r>
          </w:p>
          <w:p w14:paraId="29E632A3" w14:textId="77777777" w:rsidR="00DF739C" w:rsidRDefault="00DF739C"/>
        </w:tc>
      </w:tr>
    </w:tbl>
    <w:p w14:paraId="329D25E6" w14:textId="77777777" w:rsidR="00BE4C01" w:rsidRDefault="00BE4C01"/>
    <w:p w14:paraId="6BBF4DE2" w14:textId="77777777" w:rsidR="00BE4C01" w:rsidRPr="00BE4C01" w:rsidRDefault="00BE4C01" w:rsidP="00BE4C01"/>
    <w:p w14:paraId="251BD954" w14:textId="54A22563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t xml:space="preserve">Denne oversigt over ny finansiel regulering er udvalgt af </w:t>
      </w:r>
      <w:r w:rsidR="001928E1">
        <w:rPr>
          <w:i/>
          <w:iCs/>
        </w:rPr>
        <w:t>Equity Law Advokatanpartsselskab</w:t>
      </w:r>
      <w:r w:rsidRPr="00BE4C01">
        <w:rPr>
          <w:i/>
          <w:iCs/>
        </w:rPr>
        <w:t xml:space="preserve"> ud fra regulering, der retter sig direkte til fondsmæglerselskaber og deres </w:t>
      </w:r>
      <w:proofErr w:type="spellStart"/>
      <w:r w:rsidRPr="00BE4C01">
        <w:rPr>
          <w:i/>
          <w:iCs/>
        </w:rPr>
        <w:t>holdingvirksomheder</w:t>
      </w:r>
      <w:proofErr w:type="spellEnd"/>
      <w:r w:rsidRPr="00BE4C01">
        <w:rPr>
          <w:i/>
          <w:iCs/>
        </w:rPr>
        <w:t xml:space="preserve">. Oversigten er en informationstjeneste og udgør ikke juridisk rådgivning, og </w:t>
      </w:r>
      <w:r w:rsidR="000A03EB">
        <w:rPr>
          <w:i/>
          <w:iCs/>
        </w:rPr>
        <w:t>Equity Law Advokatanpartsselskab</w:t>
      </w:r>
      <w:r w:rsidRPr="00BE4C01">
        <w:rPr>
          <w:i/>
          <w:iCs/>
        </w:rPr>
        <w:t xml:space="preserve"> påtager sig ikke ansvar for fejl eller mangler. </w:t>
      </w:r>
      <w:r w:rsidRPr="00BE4C01">
        <w:rPr>
          <w:noProof/>
        </w:rPr>
        <w:drawing>
          <wp:anchor distT="0" distB="0" distL="114300" distR="114300" simplePos="0" relativeHeight="251659264" behindDoc="0" locked="0" layoutInCell="1" allowOverlap="1" wp14:anchorId="7F4E4D6D" wp14:editId="79FD38D8">
            <wp:simplePos x="0" y="0"/>
            <wp:positionH relativeFrom="column">
              <wp:posOffset>-4098</wp:posOffset>
            </wp:positionH>
            <wp:positionV relativeFrom="paragraph">
              <wp:posOffset>168</wp:posOffset>
            </wp:positionV>
            <wp:extent cx="1401445" cy="1504950"/>
            <wp:effectExtent l="0" t="0" r="8255" b="0"/>
            <wp:wrapSquare wrapText="bothSides"/>
            <wp:docPr id="1686948146" name="Billede 1686948146" descr="Et billede, der indeholder person, mur, menneske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mur, menneske, indendørs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85"/>
                    <a:stretch/>
                  </pic:blipFill>
                  <pic:spPr bwMode="auto">
                    <a:xfrm>
                      <a:off x="0" y="0"/>
                      <a:ext cx="14014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6D39AB" w14:textId="228586F2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t xml:space="preserve">Oversigten er redigeret af advokat Camilla Søborg, </w:t>
      </w:r>
      <w:hyperlink r:id="rId17" w:history="1">
        <w:r w:rsidR="000A03EB" w:rsidRPr="00401311">
          <w:rPr>
            <w:rStyle w:val="Hyperlink"/>
            <w:i/>
            <w:iCs/>
          </w:rPr>
          <w:t>cas@equitylaw.dk</w:t>
        </w:r>
      </w:hyperlink>
      <w:r w:rsidRPr="00BE4C01">
        <w:rPr>
          <w:i/>
          <w:iCs/>
        </w:rPr>
        <w:t xml:space="preserve">, tlf. 53500914, som du kan </w:t>
      </w:r>
      <w:proofErr w:type="gramStart"/>
      <w:r w:rsidRPr="00BE4C01">
        <w:rPr>
          <w:i/>
          <w:iCs/>
        </w:rPr>
        <w:t>rette henvendelse</w:t>
      </w:r>
      <w:proofErr w:type="gramEnd"/>
      <w:r w:rsidRPr="00BE4C01">
        <w:rPr>
          <w:i/>
          <w:iCs/>
        </w:rPr>
        <w:t xml:space="preserve"> til, hvis du har kommentarer eller spørgsmål. </w:t>
      </w:r>
    </w:p>
    <w:p w14:paraId="514A19E8" w14:textId="77777777" w:rsidR="00BE4C01" w:rsidRPr="00BE4C01" w:rsidRDefault="00BE4C01" w:rsidP="00BE4C01">
      <w:pPr>
        <w:rPr>
          <w:i/>
          <w:iCs/>
        </w:rPr>
      </w:pPr>
    </w:p>
    <w:p w14:paraId="22D0A962" w14:textId="09AEDB04" w:rsidR="00BE4C01" w:rsidRPr="00BE4C01" w:rsidRDefault="006C57C3" w:rsidP="00BE4C01">
      <w:r>
        <w:rPr>
          <w:noProof/>
        </w:rPr>
        <w:drawing>
          <wp:inline distT="0" distB="0" distL="0" distR="0" wp14:anchorId="03371999" wp14:editId="5DB5042A">
            <wp:extent cx="1495425" cy="295275"/>
            <wp:effectExtent l="0" t="0" r="9525" b="9525"/>
            <wp:docPr id="994185766" name="Billede 1" descr="Et billede, der indeholder Font/skrifttype, Grafik, logo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85766" name="Billede 1" descr="Et billede, der indeholder Font/skrifttype, Grafik, logo, tekst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6" t="-2857" r="11765" b="14287"/>
                    <a:stretch/>
                  </pic:blipFill>
                  <pic:spPr bwMode="auto">
                    <a:xfrm>
                      <a:off x="0" y="0"/>
                      <a:ext cx="1495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ECEBF" w14:textId="64DC358D" w:rsidR="00BE4C01" w:rsidRPr="00BE4C01" w:rsidRDefault="00A356F8" w:rsidP="00BE4C01">
      <w:r>
        <w:t>Equity Law Advokatanpartsselskab</w:t>
      </w:r>
      <w:r w:rsidR="00BE4C01" w:rsidRPr="00BE4C01">
        <w:t>,</w:t>
      </w:r>
      <w:r w:rsidR="00BE4C01" w:rsidRPr="00BE4C01">
        <w:rPr>
          <w:b/>
          <w:bCs/>
        </w:rPr>
        <w:t xml:space="preserve"> </w:t>
      </w:r>
      <w:r w:rsidR="00BE4C01" w:rsidRPr="00BE4C01">
        <w:t xml:space="preserve">CVR-nr. </w:t>
      </w:r>
      <w:r w:rsidR="000D0984" w:rsidRPr="000D0984">
        <w:t>42512273</w:t>
      </w:r>
      <w:r w:rsidR="00BE4C01" w:rsidRPr="00BE4C01">
        <w:t xml:space="preserve">, </w:t>
      </w:r>
      <w:r w:rsidR="000D0984">
        <w:t>Strandvejen 60</w:t>
      </w:r>
      <w:r w:rsidR="00BE4C01" w:rsidRPr="00BE4C01">
        <w:t>, DK-2900 Hellerup</w:t>
      </w:r>
    </w:p>
    <w:p w14:paraId="6AACDA41" w14:textId="77777777" w:rsidR="00BE4C01" w:rsidRDefault="00BE4C01"/>
    <w:sectPr w:rsidR="00BE4C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35C"/>
    <w:multiLevelType w:val="multilevel"/>
    <w:tmpl w:val="DCAC5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46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01"/>
    <w:rsid w:val="00006AAE"/>
    <w:rsid w:val="00067ADF"/>
    <w:rsid w:val="000A03EB"/>
    <w:rsid w:val="000D0984"/>
    <w:rsid w:val="000D7446"/>
    <w:rsid w:val="001163B2"/>
    <w:rsid w:val="001353D6"/>
    <w:rsid w:val="00136D9B"/>
    <w:rsid w:val="00152C71"/>
    <w:rsid w:val="00190150"/>
    <w:rsid w:val="001928E1"/>
    <w:rsid w:val="001D2801"/>
    <w:rsid w:val="001D307D"/>
    <w:rsid w:val="001E3C5D"/>
    <w:rsid w:val="002409F8"/>
    <w:rsid w:val="002579B0"/>
    <w:rsid w:val="00261E3F"/>
    <w:rsid w:val="00265438"/>
    <w:rsid w:val="002B6B87"/>
    <w:rsid w:val="002D36DC"/>
    <w:rsid w:val="00344CB3"/>
    <w:rsid w:val="00350FBD"/>
    <w:rsid w:val="003A2E57"/>
    <w:rsid w:val="003B3D32"/>
    <w:rsid w:val="003B7D51"/>
    <w:rsid w:val="003F7F1B"/>
    <w:rsid w:val="004044A5"/>
    <w:rsid w:val="00427ED3"/>
    <w:rsid w:val="00441721"/>
    <w:rsid w:val="0045749D"/>
    <w:rsid w:val="00480E76"/>
    <w:rsid w:val="004D740B"/>
    <w:rsid w:val="00533C93"/>
    <w:rsid w:val="005945AC"/>
    <w:rsid w:val="005B1554"/>
    <w:rsid w:val="005C2158"/>
    <w:rsid w:val="0065062C"/>
    <w:rsid w:val="00684C68"/>
    <w:rsid w:val="006A17B8"/>
    <w:rsid w:val="006C0074"/>
    <w:rsid w:val="006C492D"/>
    <w:rsid w:val="006C57C3"/>
    <w:rsid w:val="006E1BF7"/>
    <w:rsid w:val="00710052"/>
    <w:rsid w:val="00825699"/>
    <w:rsid w:val="008901B6"/>
    <w:rsid w:val="008A193E"/>
    <w:rsid w:val="0092694C"/>
    <w:rsid w:val="00961FE4"/>
    <w:rsid w:val="009911B9"/>
    <w:rsid w:val="009C05F6"/>
    <w:rsid w:val="009D0FC9"/>
    <w:rsid w:val="00A324CF"/>
    <w:rsid w:val="00A356F8"/>
    <w:rsid w:val="00A36FE5"/>
    <w:rsid w:val="00A97075"/>
    <w:rsid w:val="00AE041F"/>
    <w:rsid w:val="00B02E43"/>
    <w:rsid w:val="00B4734B"/>
    <w:rsid w:val="00B7005E"/>
    <w:rsid w:val="00B81F96"/>
    <w:rsid w:val="00B852F1"/>
    <w:rsid w:val="00BA5D03"/>
    <w:rsid w:val="00BA60EA"/>
    <w:rsid w:val="00BC1F31"/>
    <w:rsid w:val="00BE4C01"/>
    <w:rsid w:val="00C21A39"/>
    <w:rsid w:val="00C41B0B"/>
    <w:rsid w:val="00C47A7A"/>
    <w:rsid w:val="00CA72BC"/>
    <w:rsid w:val="00CB648D"/>
    <w:rsid w:val="00CC4493"/>
    <w:rsid w:val="00D069AE"/>
    <w:rsid w:val="00D20F42"/>
    <w:rsid w:val="00D768D1"/>
    <w:rsid w:val="00DD48DD"/>
    <w:rsid w:val="00DF739C"/>
    <w:rsid w:val="00E1204A"/>
    <w:rsid w:val="00E14BC7"/>
    <w:rsid w:val="00E274DB"/>
    <w:rsid w:val="00E44B28"/>
    <w:rsid w:val="00E83945"/>
    <w:rsid w:val="00ED5D3F"/>
    <w:rsid w:val="00EF15BD"/>
    <w:rsid w:val="00F10BC1"/>
    <w:rsid w:val="00F1753B"/>
    <w:rsid w:val="00F864E1"/>
    <w:rsid w:val="00FB77F6"/>
    <w:rsid w:val="00FD48E7"/>
    <w:rsid w:val="00FE710D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8BD4"/>
  <w15:chartTrackingRefBased/>
  <w15:docId w15:val="{5B722B26-DC46-4DCD-8CA4-7CD3527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C01"/>
    <w:rPr>
      <w:kern w:val="0"/>
      <w14:ligatures w14:val="non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E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E4C0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E4C0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4C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26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tsinformation.dk/eli/lta/2025/1438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tsinformation.dk/eli/lta/2025/1638" TargetMode="External"/><Relationship Id="rId17" Type="http://schemas.openxmlformats.org/officeDocument/2006/relationships/hyperlink" Target="mailto:cas@equitylaw.d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t.dk/samling/20251/lovforslag/l12/index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inanstilsynet.dk/nyheder-og-presse/nyheder-og-pressemeddelelser/2025/dec/ny-digital-indberetning-af-bestyrelsesgodkendte-regnskabs-og-revisionsdokumenter" TargetMode="External"/><Relationship Id="rId10" Type="http://schemas.openxmlformats.org/officeDocument/2006/relationships/hyperlink" Target="https://www.retsinformation.dk/eli/lta/2025/1636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ft.dk/samling/20251/lovforslag/l13/index.htm" TargetMode="External"/><Relationship Id="rId14" Type="http://schemas.openxmlformats.org/officeDocument/2006/relationships/hyperlink" Target="https://www.retsinformation.dk/eli/lta/2025/149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167DF4E06F5744B57C6F8BE5F564CB" ma:contentTypeVersion="20" ma:contentTypeDescription="Opret et nyt dokument." ma:contentTypeScope="" ma:versionID="4c9fdd3f57380a66db669e25b35dd481">
  <xsd:schema xmlns:xsd="http://www.w3.org/2001/XMLSchema" xmlns:xs="http://www.w3.org/2001/XMLSchema" xmlns:p="http://schemas.microsoft.com/office/2006/metadata/properties" xmlns:ns2="e1ad0fee-deb7-4d11-8342-64349c8749bc" xmlns:ns3="547d2aa7-4697-4679-89a8-f7ed825373f6" targetNamespace="http://schemas.microsoft.com/office/2006/metadata/properties" ma:root="true" ma:fieldsID="0701e95dae96647187809806b243026f" ns2:_="" ns3:_="">
    <xsd:import namespace="e1ad0fee-deb7-4d11-8342-64349c8749bc"/>
    <xsd:import namespace="547d2aa7-4697-4679-89a8-f7ed82537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0fee-deb7-4d11-8342-64349c874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399327e-dec2-4cfd-b9e4-ed826a3a2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d2aa7-4697-4679-89a8-f7ed82537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47f4b9-575f-4bb9-9f4d-53a5a71db9dd}" ma:internalName="TaxCatchAll" ma:showField="CatchAllData" ma:web="547d2aa7-4697-4679-89a8-f7ed82537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d2aa7-4697-4679-89a8-f7ed825373f6" xsi:nil="true"/>
    <lcf76f155ced4ddcb4097134ff3c332f xmlns="e1ad0fee-deb7-4d11-8342-64349c8749b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C98C-0845-4A94-8D81-1ABEEB67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0fee-deb7-4d11-8342-64349c8749bc"/>
    <ds:schemaRef ds:uri="547d2aa7-4697-4679-89a8-f7ed82537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4AD3D-F638-4681-B165-D4FC1736A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AF082-B58A-4F52-A56E-EC4AEF91AEFB}">
  <ds:schemaRefs>
    <ds:schemaRef ds:uri="http://schemas.microsoft.com/office/2006/metadata/properties"/>
    <ds:schemaRef ds:uri="http://schemas.microsoft.com/office/infopath/2007/PartnerControls"/>
    <ds:schemaRef ds:uri="547d2aa7-4697-4679-89a8-f7ed825373f6"/>
    <ds:schemaRef ds:uri="e1ad0fee-deb7-4d11-8342-64349c8749bc"/>
  </ds:schemaRefs>
</ds:datastoreItem>
</file>

<file path=customXml/itemProps4.xml><?xml version="1.0" encoding="utf-8"?>
<ds:datastoreItem xmlns:ds="http://schemas.openxmlformats.org/officeDocument/2006/customXml" ds:itemID="{0FD45FF4-A2A5-4FCB-91D8-3C90D304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762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Søborg</dc:creator>
  <cp:keywords/>
  <dc:description/>
  <cp:lastModifiedBy>Camilla Søborg</cp:lastModifiedBy>
  <cp:revision>59</cp:revision>
  <cp:lastPrinted>2026-01-05T10:30:00Z</cp:lastPrinted>
  <dcterms:created xsi:type="dcterms:W3CDTF">2025-12-09T17:15:00Z</dcterms:created>
  <dcterms:modified xsi:type="dcterms:W3CDTF">2026-01-05T10:48:00Z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0x0101003E167DF4E06F5744B57C6F8BE5F564CB</vt:lpwstr>
  </property>
  <property fmtid="{D5CDD505-2E9C-101B-9397-08002B2CF9AE}" pid="3" name="MediaServiceImageTags">
    <vt:lpwstr/>
  </property>
</Properties>
</file>