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0835" w14:textId="77777777" w:rsidR="00BE4C01" w:rsidRPr="008A1C76" w:rsidRDefault="00BE4C01" w:rsidP="00BE4C01">
      <w:pPr>
        <w:jc w:val="both"/>
        <w:rPr>
          <w:sz w:val="28"/>
          <w:szCs w:val="28"/>
        </w:rPr>
      </w:pPr>
      <w:bookmarkStart w:id="0" w:name="_top"/>
      <w:bookmarkEnd w:id="0"/>
      <w:r>
        <w:rPr>
          <w:sz w:val="28"/>
          <w:szCs w:val="28"/>
        </w:rPr>
        <w:t>N</w:t>
      </w:r>
      <w:r w:rsidRPr="008A1C76">
        <w:rPr>
          <w:sz w:val="28"/>
          <w:szCs w:val="28"/>
        </w:rPr>
        <w:t>y finansiel regulering</w:t>
      </w:r>
      <w:r>
        <w:rPr>
          <w:sz w:val="28"/>
          <w:szCs w:val="28"/>
        </w:rPr>
        <w:t xml:space="preserve"> for fondsmæglerselskaber</w:t>
      </w:r>
      <w:r w:rsidRPr="008A1C76">
        <w:rPr>
          <w:sz w:val="28"/>
          <w:szCs w:val="28"/>
        </w:rPr>
        <w:t xml:space="preserve"> </w:t>
      </w:r>
    </w:p>
    <w:p w14:paraId="300EB7E4" w14:textId="7D8FB7A6" w:rsidR="00BE4C01" w:rsidRDefault="00BE4C01" w:rsidP="00BE4C01">
      <w:pPr>
        <w:jc w:val="both"/>
      </w:pPr>
      <w:r>
        <w:t>O</w:t>
      </w:r>
      <w:r w:rsidRPr="005A5267">
        <w:t xml:space="preserve">pdatering for </w:t>
      </w:r>
      <w:r w:rsidR="004217A6">
        <w:t>februar</w:t>
      </w:r>
      <w:r w:rsidRPr="005A5267">
        <w:t xml:space="preserve"> </w:t>
      </w:r>
      <w:r>
        <w:t xml:space="preserve">måned </w:t>
      </w:r>
      <w:r w:rsidRPr="005A5267">
        <w:t>202</w:t>
      </w:r>
      <w:r w:rsidR="001B06EA">
        <w:t>6</w:t>
      </w:r>
    </w:p>
    <w:tbl>
      <w:tblPr>
        <w:tblStyle w:val="Tabel-Gitter"/>
        <w:tblW w:w="0" w:type="auto"/>
        <w:tblLook w:val="04A0" w:firstRow="1" w:lastRow="0" w:firstColumn="1" w:lastColumn="0" w:noHBand="0" w:noVBand="1"/>
      </w:tblPr>
      <w:tblGrid>
        <w:gridCol w:w="9628"/>
      </w:tblGrid>
      <w:tr w:rsidR="00BE4C01" w14:paraId="00166C89" w14:textId="77777777" w:rsidTr="0045749D">
        <w:tc>
          <w:tcPr>
            <w:tcW w:w="9628" w:type="dxa"/>
            <w:shd w:val="clear" w:color="auto" w:fill="D9D9D9" w:themeFill="background1" w:themeFillShade="D9"/>
          </w:tcPr>
          <w:p w14:paraId="6AB36AD5" w14:textId="79E26B0B" w:rsidR="00BE4C01" w:rsidRPr="005945AC" w:rsidRDefault="005945AC">
            <w:pPr>
              <w:rPr>
                <w:b/>
                <w:bCs/>
              </w:rPr>
            </w:pPr>
            <w:r w:rsidRPr="005945AC">
              <w:rPr>
                <w:b/>
                <w:bCs/>
              </w:rPr>
              <w:t>OVERBLIK</w:t>
            </w:r>
          </w:p>
        </w:tc>
      </w:tr>
      <w:tr w:rsidR="00BE4C01" w14:paraId="19A8CD66" w14:textId="77777777" w:rsidTr="00BE4C01">
        <w:tc>
          <w:tcPr>
            <w:tcW w:w="9628" w:type="dxa"/>
          </w:tcPr>
          <w:p w14:paraId="240953C9" w14:textId="77777777" w:rsidR="00BE4C01" w:rsidRDefault="00BE4C01"/>
          <w:p w14:paraId="1FB1A4D4" w14:textId="2A5C0325" w:rsidR="00D40DB2" w:rsidRDefault="00D40DB2">
            <w:r>
              <w:t>Ændre</w:t>
            </w:r>
            <w:r w:rsidR="00311FD7">
              <w:t xml:space="preserve">de </w:t>
            </w:r>
            <w:r>
              <w:t xml:space="preserve">krav om bæredygtighedsrapportering: </w:t>
            </w:r>
            <w:hyperlink w:anchor="A" w:history="1">
              <w:r w:rsidRPr="00D40DB2">
                <w:rPr>
                  <w:rStyle w:val="Hyperlink"/>
                </w:rPr>
                <w:t>link</w:t>
              </w:r>
            </w:hyperlink>
          </w:p>
          <w:p w14:paraId="73502251" w14:textId="77777777" w:rsidR="003D05D2" w:rsidRDefault="003D05D2"/>
          <w:p w14:paraId="0FE8121C" w14:textId="52B467D0" w:rsidR="00D40DB2" w:rsidRDefault="0004053A">
            <w:r>
              <w:t xml:space="preserve">Orientering om indberetning af årsrapport og andre dokumenter: </w:t>
            </w:r>
            <w:hyperlink w:anchor="B" w:history="1">
              <w:r w:rsidRPr="0004053A">
                <w:rPr>
                  <w:rStyle w:val="Hyperlink"/>
                </w:rPr>
                <w:t>link</w:t>
              </w:r>
            </w:hyperlink>
          </w:p>
          <w:p w14:paraId="3F2A4248" w14:textId="77777777" w:rsidR="0004053A" w:rsidRDefault="0004053A"/>
          <w:p w14:paraId="7BA42B2C" w14:textId="7E0FFA76" w:rsidR="0004053A" w:rsidRDefault="00AE7F3E">
            <w:r>
              <w:t xml:space="preserve">Orientering om </w:t>
            </w:r>
            <w:r w:rsidR="00E6540C">
              <w:t>ændre</w:t>
            </w:r>
            <w:r w:rsidR="005C3DDD">
              <w:t>de</w:t>
            </w:r>
            <w:r w:rsidR="00E6540C">
              <w:t xml:space="preserve"> krav om bæredygtighedsrapportering: </w:t>
            </w:r>
            <w:hyperlink w:anchor="C" w:history="1">
              <w:r w:rsidR="00183A30" w:rsidRPr="00183A30">
                <w:rPr>
                  <w:rStyle w:val="Hyperlink"/>
                </w:rPr>
                <w:t>link</w:t>
              </w:r>
            </w:hyperlink>
          </w:p>
          <w:p w14:paraId="5B499863" w14:textId="77777777" w:rsidR="00E6540C" w:rsidRDefault="00E6540C"/>
          <w:p w14:paraId="78EB126A" w14:textId="12C27457" w:rsidR="00FC0FC2" w:rsidRDefault="0094182E">
            <w:r>
              <w:t xml:space="preserve">Opdatering af niveau 2-regler </w:t>
            </w:r>
            <w:r w:rsidR="007F7D8E">
              <w:t xml:space="preserve">om likviditet, transparens m.v. </w:t>
            </w:r>
            <w:r>
              <w:t>under MiFIR</w:t>
            </w:r>
            <w:r w:rsidR="007F7D8E">
              <w:t xml:space="preserve">: </w:t>
            </w:r>
            <w:hyperlink w:anchor="D" w:history="1">
              <w:r w:rsidR="00183A30" w:rsidRPr="00183A30">
                <w:rPr>
                  <w:rStyle w:val="Hyperlink"/>
                </w:rPr>
                <w:t>link</w:t>
              </w:r>
            </w:hyperlink>
          </w:p>
          <w:p w14:paraId="49B100C0" w14:textId="77777777" w:rsidR="007F7D8E" w:rsidRDefault="007F7D8E"/>
          <w:p w14:paraId="325078F3" w14:textId="3DD3DD51" w:rsidR="007F7D8E" w:rsidRDefault="00A27520">
            <w:r>
              <w:t xml:space="preserve">Supplerende regler om </w:t>
            </w:r>
            <w:r w:rsidR="00E86EDF">
              <w:t xml:space="preserve">efterhandelsgennemsigtighed for statsobligationer: </w:t>
            </w:r>
            <w:hyperlink w:anchor="E" w:history="1">
              <w:r w:rsidR="00CC1B92" w:rsidRPr="00CC1B92">
                <w:rPr>
                  <w:rStyle w:val="Hyperlink"/>
                </w:rPr>
                <w:t>link</w:t>
              </w:r>
            </w:hyperlink>
          </w:p>
          <w:p w14:paraId="7C5A20C1" w14:textId="77777777" w:rsidR="00E86EDF" w:rsidRDefault="00E86EDF"/>
          <w:p w14:paraId="3E7CB413" w14:textId="159EAE52" w:rsidR="00E86EDF" w:rsidRDefault="00F423C7">
            <w:r>
              <w:t xml:space="preserve">Retningslinjer om MiFID II/MiFIR-forpligtelser på markedsdata </w:t>
            </w:r>
            <w:r w:rsidR="00FB612C">
              <w:t xml:space="preserve">udgår: </w:t>
            </w:r>
            <w:hyperlink w:anchor="F" w:history="1">
              <w:r w:rsidR="00CC1B92" w:rsidRPr="00CC1B92">
                <w:rPr>
                  <w:rStyle w:val="Hyperlink"/>
                </w:rPr>
                <w:t>link</w:t>
              </w:r>
            </w:hyperlink>
          </w:p>
          <w:p w14:paraId="7CA17F92" w14:textId="77777777" w:rsidR="00E6540C" w:rsidRDefault="00E6540C"/>
          <w:p w14:paraId="60A709AD" w14:textId="3CC81A8C" w:rsidR="00FB612C" w:rsidRDefault="00CB2EB4">
            <w:r>
              <w:t>Udtalelse</w:t>
            </w:r>
            <w:r w:rsidR="00277FDB">
              <w:t xml:space="preserve"> fra ESMA</w:t>
            </w:r>
            <w:r>
              <w:t xml:space="preserve"> om produktinterventioner for CFD’er: </w:t>
            </w:r>
            <w:hyperlink w:anchor="G" w:history="1">
              <w:r w:rsidR="00B819D3" w:rsidRPr="00B819D3">
                <w:rPr>
                  <w:rStyle w:val="Hyperlink"/>
                </w:rPr>
                <w:t>link</w:t>
              </w:r>
            </w:hyperlink>
          </w:p>
          <w:p w14:paraId="04129624" w14:textId="77777777" w:rsidR="00CB2EB4" w:rsidRDefault="00CB2EB4"/>
          <w:p w14:paraId="75EDF381" w14:textId="53366B64" w:rsidR="00CB2EB4" w:rsidRDefault="00CB2EB4">
            <w:r>
              <w:t xml:space="preserve">Supervisory briefing </w:t>
            </w:r>
            <w:r w:rsidR="00277FDB">
              <w:t xml:space="preserve">fra ESMA </w:t>
            </w:r>
            <w:r>
              <w:t xml:space="preserve">om algoritmisk handel: </w:t>
            </w:r>
            <w:hyperlink w:anchor="H" w:history="1">
              <w:r w:rsidR="006D349A" w:rsidRPr="006D349A">
                <w:rPr>
                  <w:rStyle w:val="Hyperlink"/>
                </w:rPr>
                <w:t>link</w:t>
              </w:r>
            </w:hyperlink>
          </w:p>
          <w:p w14:paraId="32C1EE7F" w14:textId="77777777" w:rsidR="00392E48" w:rsidRDefault="00392E48"/>
          <w:p w14:paraId="40CCA5FE" w14:textId="7D517835" w:rsidR="00392E48" w:rsidRDefault="00277FDB">
            <w:r>
              <w:t xml:space="preserve">Resultater af </w:t>
            </w:r>
            <w:r w:rsidR="005853F7">
              <w:t>gennemsigtighedsberegninger offentliggjort:</w:t>
            </w:r>
            <w:r w:rsidR="00210630">
              <w:t xml:space="preserve"> </w:t>
            </w:r>
            <w:hyperlink w:anchor="I" w:history="1">
              <w:r w:rsidR="00210630" w:rsidRPr="00210630">
                <w:rPr>
                  <w:rStyle w:val="Hyperlink"/>
                </w:rPr>
                <w:t>link</w:t>
              </w:r>
            </w:hyperlink>
          </w:p>
          <w:p w14:paraId="774E809C" w14:textId="77777777" w:rsidR="003D05D2" w:rsidRDefault="003D05D2"/>
        </w:tc>
      </w:tr>
      <w:tr w:rsidR="00BE4C01" w14:paraId="531CF982" w14:textId="77777777" w:rsidTr="0045749D">
        <w:tc>
          <w:tcPr>
            <w:tcW w:w="9628" w:type="dxa"/>
            <w:shd w:val="clear" w:color="auto" w:fill="D9D9D9" w:themeFill="background1" w:themeFillShade="D9"/>
          </w:tcPr>
          <w:p w14:paraId="7BDC7261" w14:textId="6D8F2E20" w:rsidR="00BE4C01" w:rsidRPr="005945AC" w:rsidRDefault="00BE4C01" w:rsidP="00BE4C01">
            <w:pPr>
              <w:pStyle w:val="Listeafsnit"/>
              <w:numPr>
                <w:ilvl w:val="0"/>
                <w:numId w:val="1"/>
              </w:numPr>
              <w:rPr>
                <w:b/>
                <w:bCs/>
              </w:rPr>
            </w:pPr>
            <w:r w:rsidRPr="005945AC">
              <w:rPr>
                <w:b/>
                <w:bCs/>
              </w:rPr>
              <w:t>DANSK REGULERING</w:t>
            </w:r>
          </w:p>
        </w:tc>
      </w:tr>
      <w:tr w:rsidR="00BE4C01" w14:paraId="31E09EBE" w14:textId="77777777" w:rsidTr="0045749D">
        <w:tc>
          <w:tcPr>
            <w:tcW w:w="9628" w:type="dxa"/>
            <w:shd w:val="clear" w:color="auto" w:fill="D9D9D9" w:themeFill="background1" w:themeFillShade="D9"/>
          </w:tcPr>
          <w:p w14:paraId="199CDD40" w14:textId="62239D98" w:rsidR="00BE4C01" w:rsidRPr="005945AC" w:rsidRDefault="00BE4C01" w:rsidP="00BE4C01">
            <w:pPr>
              <w:pStyle w:val="Listeafsnit"/>
              <w:numPr>
                <w:ilvl w:val="1"/>
                <w:numId w:val="1"/>
              </w:numPr>
              <w:rPr>
                <w:b/>
                <w:bCs/>
              </w:rPr>
            </w:pPr>
            <w:r w:rsidRPr="005945AC">
              <w:rPr>
                <w:b/>
                <w:bCs/>
              </w:rPr>
              <w:t xml:space="preserve"> Love</w:t>
            </w:r>
          </w:p>
        </w:tc>
      </w:tr>
      <w:tr w:rsidR="00BE4C01" w14:paraId="786DA9D6" w14:textId="77777777" w:rsidTr="00BE4C01">
        <w:tc>
          <w:tcPr>
            <w:tcW w:w="9628" w:type="dxa"/>
          </w:tcPr>
          <w:p w14:paraId="551B7182" w14:textId="77777777" w:rsidR="00BE4C01" w:rsidRDefault="00BE4C01"/>
          <w:p w14:paraId="25F4DCE5" w14:textId="02D60F97" w:rsidR="003D05D2" w:rsidRDefault="003D05D2">
            <w:r>
              <w:t>Intet nyt.</w:t>
            </w:r>
          </w:p>
          <w:p w14:paraId="1136A53C" w14:textId="77777777" w:rsidR="003D05D2" w:rsidRDefault="003D05D2"/>
        </w:tc>
      </w:tr>
      <w:tr w:rsidR="00BE4C01" w14:paraId="46B86ADE" w14:textId="77777777" w:rsidTr="0045749D">
        <w:tc>
          <w:tcPr>
            <w:tcW w:w="9628" w:type="dxa"/>
            <w:shd w:val="clear" w:color="auto" w:fill="D9D9D9" w:themeFill="background1" w:themeFillShade="D9"/>
          </w:tcPr>
          <w:p w14:paraId="22197C0B" w14:textId="3757CD86" w:rsidR="00BE4C01" w:rsidRPr="005945AC" w:rsidRDefault="00BE4C01" w:rsidP="00BE4C01">
            <w:pPr>
              <w:pStyle w:val="Listeafsnit"/>
              <w:numPr>
                <w:ilvl w:val="1"/>
                <w:numId w:val="1"/>
              </w:numPr>
              <w:rPr>
                <w:b/>
                <w:bCs/>
              </w:rPr>
            </w:pPr>
            <w:r w:rsidRPr="005945AC">
              <w:rPr>
                <w:b/>
                <w:bCs/>
              </w:rPr>
              <w:t>Bekendtgørelse</w:t>
            </w:r>
            <w:r w:rsidR="00136D9B">
              <w:rPr>
                <w:b/>
                <w:bCs/>
              </w:rPr>
              <w:t>r</w:t>
            </w:r>
            <w:r w:rsidRPr="005945AC">
              <w:rPr>
                <w:b/>
                <w:bCs/>
              </w:rPr>
              <w:t xml:space="preserve"> m.v.</w:t>
            </w:r>
          </w:p>
        </w:tc>
      </w:tr>
      <w:tr w:rsidR="00BE4C01" w14:paraId="159B5602" w14:textId="77777777" w:rsidTr="00BE4C01">
        <w:tc>
          <w:tcPr>
            <w:tcW w:w="9628" w:type="dxa"/>
          </w:tcPr>
          <w:p w14:paraId="3D770C1A" w14:textId="77777777" w:rsidR="00BE4C01" w:rsidRDefault="00BE4C01"/>
          <w:p w14:paraId="6B3F4CB5" w14:textId="77777777" w:rsidR="008F5689" w:rsidRPr="007C471C" w:rsidRDefault="008F5689" w:rsidP="008F5689">
            <w:pPr>
              <w:jc w:val="both"/>
              <w:rPr>
                <w:b/>
                <w:bCs/>
              </w:rPr>
            </w:pPr>
            <w:bookmarkStart w:id="1" w:name="A"/>
            <w:r w:rsidRPr="007C471C">
              <w:rPr>
                <w:b/>
                <w:bCs/>
              </w:rPr>
              <w:t xml:space="preserve">Bekendtgørelse </w:t>
            </w:r>
            <w:r>
              <w:rPr>
                <w:b/>
                <w:bCs/>
              </w:rPr>
              <w:t xml:space="preserve">nr. </w:t>
            </w:r>
            <w:r w:rsidRPr="006F243A">
              <w:rPr>
                <w:b/>
                <w:bCs/>
              </w:rPr>
              <w:t>345 af 25</w:t>
            </w:r>
            <w:r>
              <w:rPr>
                <w:b/>
                <w:bCs/>
              </w:rPr>
              <w:t xml:space="preserve">. februar </w:t>
            </w:r>
            <w:r w:rsidRPr="006F243A">
              <w:rPr>
                <w:b/>
                <w:bCs/>
              </w:rPr>
              <w:t>2026</w:t>
            </w:r>
            <w:r>
              <w:rPr>
                <w:b/>
                <w:bCs/>
              </w:rPr>
              <w:t xml:space="preserve"> </w:t>
            </w:r>
            <w:r w:rsidRPr="007C471C">
              <w:rPr>
                <w:b/>
                <w:bCs/>
              </w:rPr>
              <w:t>om ændring af bekendtgørelse om finansielle rapporter for kreditinstitutter og fondsmæglerselskaber m.fl.</w:t>
            </w:r>
          </w:p>
          <w:bookmarkEnd w:id="1"/>
          <w:p w14:paraId="62605915" w14:textId="77777777" w:rsidR="003D05D2" w:rsidRDefault="003D05D2" w:rsidP="008F5689">
            <w:pPr>
              <w:jc w:val="both"/>
            </w:pPr>
          </w:p>
          <w:p w14:paraId="766EB150" w14:textId="24F28BDC" w:rsidR="008F5689" w:rsidRDefault="008F5689" w:rsidP="008F5689">
            <w:pPr>
              <w:jc w:val="both"/>
            </w:pPr>
            <w:r>
              <w:t xml:space="preserve">Bekendtgørelsen </w:t>
            </w:r>
            <w:r w:rsidRPr="00A16CBD">
              <w:t>udskyde</w:t>
            </w:r>
            <w:r>
              <w:t>r</w:t>
            </w:r>
            <w:r w:rsidRPr="00A16CBD">
              <w:t xml:space="preserve"> kravet om bæredygtighedsrapportering</w:t>
            </w:r>
            <w:r w:rsidR="00251B05" w:rsidRPr="00A16CBD">
              <w:t xml:space="preserve"> </w:t>
            </w:r>
            <w:r w:rsidR="00251B05" w:rsidRPr="00A16CBD">
              <w:t>i regnskabsårene 2025 og 2026</w:t>
            </w:r>
            <w:r w:rsidRPr="00A16CBD">
              <w:t xml:space="preserve"> for de virksomheder, som indtil nu har været omfattet af kravet, men som vil falde udenfor CSRD’s anvendelsesområde</w:t>
            </w:r>
            <w:r w:rsidR="00A45C6E">
              <w:t xml:space="preserve"> ved ændringer i </w:t>
            </w:r>
            <w:r w:rsidR="003C155F">
              <w:t>EU-reguleringen</w:t>
            </w:r>
            <w:r w:rsidRPr="00A16CBD">
              <w:t>. Det betyder i praksis, at disse virksomheder ikke skal udarbejde en bæredygtighedsrapportering.</w:t>
            </w:r>
          </w:p>
          <w:p w14:paraId="1967CBA2" w14:textId="77777777" w:rsidR="003D05D2" w:rsidRDefault="003D05D2" w:rsidP="008F5689">
            <w:pPr>
              <w:jc w:val="both"/>
            </w:pPr>
          </w:p>
          <w:p w14:paraId="0F954A1E" w14:textId="25466A46" w:rsidR="008F5689" w:rsidRDefault="008F5689" w:rsidP="008F5689">
            <w:pPr>
              <w:jc w:val="both"/>
            </w:pPr>
            <w:r>
              <w:t xml:space="preserve">(Offentliggjort den 27. februar 2026, </w:t>
            </w:r>
            <w:hyperlink r:id="rId9" w:history="1">
              <w:r w:rsidRPr="007F6411">
                <w:rPr>
                  <w:rStyle w:val="Hyperlink"/>
                </w:rPr>
                <w:t>link</w:t>
              </w:r>
            </w:hyperlink>
            <w:r>
              <w:t>)</w:t>
            </w:r>
          </w:p>
          <w:p w14:paraId="6D4924B5" w14:textId="77777777" w:rsidR="008F5689" w:rsidRDefault="008F5689" w:rsidP="008F5689">
            <w:pPr>
              <w:jc w:val="both"/>
            </w:pPr>
          </w:p>
          <w:p w14:paraId="4B96F21B" w14:textId="77777777" w:rsidR="00C302DD" w:rsidRDefault="00C302DD" w:rsidP="008F5689">
            <w:pPr>
              <w:jc w:val="both"/>
            </w:pPr>
          </w:p>
          <w:p w14:paraId="7C9413DC" w14:textId="77777777" w:rsidR="00C214BB" w:rsidRPr="00D956FB" w:rsidRDefault="00C214BB" w:rsidP="00C214BB">
            <w:pPr>
              <w:jc w:val="both"/>
              <w:rPr>
                <w:b/>
                <w:bCs/>
              </w:rPr>
            </w:pPr>
            <w:bookmarkStart w:id="2" w:name="B"/>
            <w:r w:rsidRPr="00D956FB">
              <w:rPr>
                <w:b/>
                <w:bCs/>
              </w:rPr>
              <w:t>Indberetning af årsrapporter for finansielle virksomheder i 2026</w:t>
            </w:r>
          </w:p>
          <w:bookmarkEnd w:id="2"/>
          <w:p w14:paraId="0131CCF4" w14:textId="77777777" w:rsidR="003D05D2" w:rsidRDefault="003D05D2" w:rsidP="00C214BB">
            <w:pPr>
              <w:jc w:val="both"/>
            </w:pPr>
          </w:p>
          <w:p w14:paraId="57CACDF7" w14:textId="3DFBD547" w:rsidR="00C214BB" w:rsidRPr="008853BE" w:rsidRDefault="00C214BB" w:rsidP="00C214BB">
            <w:pPr>
              <w:jc w:val="both"/>
            </w:pPr>
            <w:r>
              <w:t xml:space="preserve">Finanstilsynet orienterer om korrekt indberetning af </w:t>
            </w:r>
            <w:r w:rsidRPr="008853BE">
              <w:t>årsrapporten samt øvrige regnskabs- og revisionsdokumenter til Erhvervsstyrelsen og Finanstilsynet.</w:t>
            </w:r>
          </w:p>
          <w:p w14:paraId="334E55E0" w14:textId="77777777" w:rsidR="003D05D2" w:rsidRDefault="003D05D2" w:rsidP="00C214BB">
            <w:pPr>
              <w:jc w:val="both"/>
            </w:pPr>
          </w:p>
          <w:p w14:paraId="1A4C5E11" w14:textId="6E905D0B" w:rsidR="00C214BB" w:rsidRDefault="00C214BB" w:rsidP="00C214BB">
            <w:pPr>
              <w:jc w:val="both"/>
            </w:pPr>
            <w:r w:rsidRPr="00860AD9">
              <w:t>(Offentliggjort den 2</w:t>
            </w:r>
            <w:r>
              <w:t>6</w:t>
            </w:r>
            <w:r w:rsidRPr="00860AD9">
              <w:t>. februar 2026,</w:t>
            </w:r>
            <w:r>
              <w:t xml:space="preserve"> </w:t>
            </w:r>
            <w:hyperlink r:id="rId10" w:history="1">
              <w:r w:rsidRPr="008853BE">
                <w:rPr>
                  <w:rStyle w:val="Hyperlink"/>
                </w:rPr>
                <w:t>link</w:t>
              </w:r>
            </w:hyperlink>
            <w:r>
              <w:t>)</w:t>
            </w:r>
          </w:p>
          <w:p w14:paraId="4BB116C0" w14:textId="77777777" w:rsidR="00C302DD" w:rsidRDefault="00C302DD" w:rsidP="00C214BB">
            <w:pPr>
              <w:jc w:val="both"/>
              <w:rPr>
                <w:b/>
                <w:bCs/>
              </w:rPr>
            </w:pPr>
          </w:p>
          <w:p w14:paraId="7EC163C6" w14:textId="77777777" w:rsidR="00C214BB" w:rsidRDefault="00C214BB" w:rsidP="00C214BB">
            <w:pPr>
              <w:jc w:val="both"/>
              <w:rPr>
                <w:b/>
                <w:bCs/>
              </w:rPr>
            </w:pPr>
          </w:p>
          <w:p w14:paraId="0E2D0452" w14:textId="77777777" w:rsidR="00211D3B" w:rsidRPr="00693A1A" w:rsidRDefault="00211D3B" w:rsidP="00211D3B">
            <w:pPr>
              <w:jc w:val="both"/>
              <w:rPr>
                <w:b/>
                <w:bCs/>
              </w:rPr>
            </w:pPr>
            <w:bookmarkStart w:id="3" w:name="C"/>
            <w:r w:rsidRPr="00693A1A">
              <w:rPr>
                <w:b/>
                <w:bCs/>
              </w:rPr>
              <w:lastRenderedPageBreak/>
              <w:t>Færre virksomheder skal rapportere om bæredygtighed allerede fra 2025</w:t>
            </w:r>
          </w:p>
          <w:bookmarkEnd w:id="3"/>
          <w:p w14:paraId="65553FD3" w14:textId="77777777" w:rsidR="003D05D2" w:rsidRDefault="003D05D2" w:rsidP="00211D3B">
            <w:pPr>
              <w:jc w:val="both"/>
            </w:pPr>
          </w:p>
          <w:p w14:paraId="700B698B" w14:textId="396F222C" w:rsidR="00211D3B" w:rsidRDefault="00211D3B" w:rsidP="00211D3B">
            <w:pPr>
              <w:jc w:val="both"/>
            </w:pPr>
            <w:r w:rsidRPr="00693A1A">
              <w:t xml:space="preserve">Finanstilsynet </w:t>
            </w:r>
            <w:r>
              <w:t xml:space="preserve">orienterer om </w:t>
            </w:r>
            <w:r w:rsidRPr="00693A1A">
              <w:t xml:space="preserve">ændringsbekendtgørelser, som udskyder kravet om bæredygtighedsrapportering under CSRD for de virksomheder, som efter </w:t>
            </w:r>
            <w:r w:rsidR="00E05C43">
              <w:t xml:space="preserve">ny </w:t>
            </w:r>
            <w:r w:rsidRPr="00693A1A">
              <w:t>EU-regulering ikke længere vil være omfattet.</w:t>
            </w:r>
            <w:r>
              <w:t xml:space="preserve"> </w:t>
            </w:r>
          </w:p>
          <w:p w14:paraId="00DCFCB3" w14:textId="4C993CE5" w:rsidR="00211D3B" w:rsidRPr="00693A1A" w:rsidRDefault="00211D3B" w:rsidP="00211D3B">
            <w:pPr>
              <w:jc w:val="both"/>
            </w:pPr>
            <w:r>
              <w:t xml:space="preserve">Se også </w:t>
            </w:r>
            <w:r w:rsidR="005954A7">
              <w:t>bekendtgørelsen ovenfor</w:t>
            </w:r>
            <w:r>
              <w:t>.</w:t>
            </w:r>
          </w:p>
          <w:p w14:paraId="18D2D10C" w14:textId="77777777" w:rsidR="003D05D2" w:rsidRDefault="003D05D2" w:rsidP="00211D3B">
            <w:pPr>
              <w:jc w:val="both"/>
            </w:pPr>
          </w:p>
          <w:p w14:paraId="38D7149A" w14:textId="127E781E" w:rsidR="00211D3B" w:rsidRDefault="00211D3B" w:rsidP="00211D3B">
            <w:pPr>
              <w:jc w:val="both"/>
              <w:rPr>
                <w:b/>
                <w:bCs/>
              </w:rPr>
            </w:pPr>
            <w:r w:rsidRPr="00860AD9">
              <w:t>(Offentliggjort den 2</w:t>
            </w:r>
            <w:r>
              <w:t>7</w:t>
            </w:r>
            <w:r w:rsidRPr="00860AD9">
              <w:t>. februar 2026,</w:t>
            </w:r>
            <w:r>
              <w:t xml:space="preserve"> </w:t>
            </w:r>
            <w:hyperlink r:id="rId11" w:history="1">
              <w:r w:rsidRPr="00693A1A">
                <w:rPr>
                  <w:rStyle w:val="Hyperlink"/>
                </w:rPr>
                <w:t>link</w:t>
              </w:r>
            </w:hyperlink>
            <w:r>
              <w:t>)</w:t>
            </w:r>
          </w:p>
          <w:p w14:paraId="2BE89B52" w14:textId="77777777" w:rsidR="008F5689" w:rsidRDefault="008F5689"/>
        </w:tc>
      </w:tr>
      <w:tr w:rsidR="00BE4C01" w14:paraId="2E8F680D" w14:textId="77777777" w:rsidTr="0045749D">
        <w:tc>
          <w:tcPr>
            <w:tcW w:w="9628" w:type="dxa"/>
            <w:shd w:val="clear" w:color="auto" w:fill="D9D9D9" w:themeFill="background1" w:themeFillShade="D9"/>
          </w:tcPr>
          <w:p w14:paraId="033F4D91" w14:textId="215F6731" w:rsidR="00BE4C01" w:rsidRPr="005945AC" w:rsidRDefault="00BE4C01" w:rsidP="00BE4C01">
            <w:pPr>
              <w:pStyle w:val="Listeafsnit"/>
              <w:numPr>
                <w:ilvl w:val="0"/>
                <w:numId w:val="1"/>
              </w:numPr>
              <w:rPr>
                <w:b/>
                <w:bCs/>
              </w:rPr>
            </w:pPr>
            <w:r w:rsidRPr="005945AC">
              <w:rPr>
                <w:b/>
                <w:bCs/>
              </w:rPr>
              <w:lastRenderedPageBreak/>
              <w:t>EU-REGULERING (forordninger)</w:t>
            </w:r>
          </w:p>
        </w:tc>
      </w:tr>
      <w:tr w:rsidR="00BE4C01" w14:paraId="6AF8D239" w14:textId="77777777" w:rsidTr="0045749D">
        <w:tc>
          <w:tcPr>
            <w:tcW w:w="9628" w:type="dxa"/>
            <w:shd w:val="clear" w:color="auto" w:fill="D9D9D9" w:themeFill="background1" w:themeFillShade="D9"/>
          </w:tcPr>
          <w:p w14:paraId="0C426A68" w14:textId="017C4220" w:rsidR="00BE4C01" w:rsidRPr="005945AC" w:rsidRDefault="00BE4C01" w:rsidP="00BE4C01">
            <w:pPr>
              <w:pStyle w:val="Listeafsnit"/>
              <w:numPr>
                <w:ilvl w:val="1"/>
                <w:numId w:val="1"/>
              </w:numPr>
              <w:rPr>
                <w:b/>
                <w:bCs/>
              </w:rPr>
            </w:pPr>
            <w:r w:rsidRPr="005945AC">
              <w:rPr>
                <w:b/>
                <w:bCs/>
              </w:rPr>
              <w:t>Niveau 1</w:t>
            </w:r>
          </w:p>
        </w:tc>
      </w:tr>
      <w:tr w:rsidR="00BE4C01" w14:paraId="1DF6C69F" w14:textId="77777777" w:rsidTr="00BE4C01">
        <w:tc>
          <w:tcPr>
            <w:tcW w:w="9628" w:type="dxa"/>
          </w:tcPr>
          <w:p w14:paraId="24DC36F8" w14:textId="77777777" w:rsidR="00BE4C01" w:rsidRDefault="00BE4C01"/>
          <w:p w14:paraId="201C1C7F" w14:textId="77777777" w:rsidR="003D05D2" w:rsidRDefault="003D05D2" w:rsidP="003D05D2">
            <w:r>
              <w:t>Intet nyt.</w:t>
            </w:r>
          </w:p>
          <w:p w14:paraId="010E559B" w14:textId="77777777" w:rsidR="003D05D2" w:rsidRDefault="003D05D2"/>
        </w:tc>
      </w:tr>
      <w:tr w:rsidR="00BE4C01" w14:paraId="33726393" w14:textId="77777777" w:rsidTr="0045749D">
        <w:tc>
          <w:tcPr>
            <w:tcW w:w="9628" w:type="dxa"/>
            <w:shd w:val="clear" w:color="auto" w:fill="D9D9D9" w:themeFill="background1" w:themeFillShade="D9"/>
          </w:tcPr>
          <w:p w14:paraId="5443431C" w14:textId="42CA405D" w:rsidR="00BE4C01" w:rsidRPr="005945AC" w:rsidRDefault="00BE4C01" w:rsidP="00BE4C01">
            <w:pPr>
              <w:pStyle w:val="Listeafsnit"/>
              <w:numPr>
                <w:ilvl w:val="1"/>
                <w:numId w:val="1"/>
              </w:numPr>
              <w:rPr>
                <w:b/>
                <w:bCs/>
              </w:rPr>
            </w:pPr>
            <w:r w:rsidRPr="005945AC">
              <w:rPr>
                <w:b/>
                <w:bCs/>
              </w:rPr>
              <w:t>Niveau 2</w:t>
            </w:r>
          </w:p>
        </w:tc>
      </w:tr>
      <w:tr w:rsidR="00BE4C01" w14:paraId="041C1121" w14:textId="77777777" w:rsidTr="00BE4C01">
        <w:tc>
          <w:tcPr>
            <w:tcW w:w="9628" w:type="dxa"/>
          </w:tcPr>
          <w:p w14:paraId="6313FEEB" w14:textId="77777777" w:rsidR="00BE4C01" w:rsidRDefault="00BE4C01"/>
          <w:p w14:paraId="1568B5A9" w14:textId="77777777" w:rsidR="00DA1547" w:rsidRDefault="00DA1547" w:rsidP="00DA1547">
            <w:pPr>
              <w:jc w:val="both"/>
              <w:rPr>
                <w:b/>
                <w:bCs/>
              </w:rPr>
            </w:pPr>
            <w:bookmarkStart w:id="4" w:name="D"/>
            <w:r w:rsidRPr="00E959FC">
              <w:rPr>
                <w:b/>
                <w:bCs/>
              </w:rPr>
              <w:t>Kommissionens delegerede forordning (EU) 2026/482 af 24. november 2025 om ændring af delegeret forordning (EU) 2017/567 for så vidt angår fastlæggelse af, hvad der udgør et likvidt marked for aktieinstrumenter, forpligtelsen til at give adgang til markedsdata på rimelige handelsmæssige vilkår, den instrumentspecifikke størrelse med henblik på systematiske internalisatorers forpligtelser samt definitionen af og offentliggørelse af efterhandelstjenesteydelser til risikoreduktion</w:t>
            </w:r>
            <w:bookmarkEnd w:id="4"/>
          </w:p>
          <w:p w14:paraId="4AED9971" w14:textId="77777777" w:rsidR="003D05D2" w:rsidRDefault="003D05D2" w:rsidP="00DA1547">
            <w:pPr>
              <w:jc w:val="both"/>
            </w:pPr>
          </w:p>
          <w:p w14:paraId="6D0DD86D" w14:textId="14F3A3B1" w:rsidR="00DA1547" w:rsidRPr="007658D9" w:rsidRDefault="00DA1547" w:rsidP="00DA1547">
            <w:pPr>
              <w:jc w:val="both"/>
            </w:pPr>
            <w:r w:rsidRPr="007658D9">
              <w:t xml:space="preserve">Der er tale om en niveau 2-forordning under MiFIR om definition på SI’er, positionsrapportering, RCB, bestemmelse af et likvidt marked for aktier samt efterhandelsrisiko. </w:t>
            </w:r>
            <w:r w:rsidR="00E30EC0">
              <w:t>Niveau 2-</w:t>
            </w:r>
            <w:r w:rsidR="00DD5F7F">
              <w:t xml:space="preserve">forordningen </w:t>
            </w:r>
            <w:r w:rsidRPr="007658D9">
              <w:t>opdaterer kravene i den delegerede forordning (EU) 2017/567 og sletter bestemmelser, der er blevet overflødige</w:t>
            </w:r>
            <w:r w:rsidR="00DD5F7F">
              <w:t xml:space="preserve"> som følge af ændringer i MiFIR ved Mi</w:t>
            </w:r>
            <w:r w:rsidR="00F20191">
              <w:t>FID II/MiFIR review-pakken</w:t>
            </w:r>
            <w:r w:rsidRPr="007658D9">
              <w:t xml:space="preserve">. </w:t>
            </w:r>
          </w:p>
          <w:p w14:paraId="474F58B2" w14:textId="77777777" w:rsidR="003D05D2" w:rsidRDefault="003D05D2" w:rsidP="00DA1547">
            <w:pPr>
              <w:jc w:val="both"/>
            </w:pPr>
          </w:p>
          <w:p w14:paraId="4734CB1A" w14:textId="1824654F" w:rsidR="00DA1547" w:rsidRDefault="00DA1547" w:rsidP="00DA1547">
            <w:pPr>
              <w:jc w:val="both"/>
            </w:pPr>
            <w:r>
              <w:t xml:space="preserve">(Offentliggjort den 27. februar 2026, </w:t>
            </w:r>
            <w:hyperlink r:id="rId12" w:history="1">
              <w:r w:rsidRPr="003D7598">
                <w:rPr>
                  <w:rStyle w:val="Hyperlink"/>
                </w:rPr>
                <w:t>link</w:t>
              </w:r>
            </w:hyperlink>
            <w:r>
              <w:t>)</w:t>
            </w:r>
          </w:p>
          <w:p w14:paraId="570C0B58" w14:textId="77777777" w:rsidR="00DA1547" w:rsidRDefault="00DA1547"/>
        </w:tc>
      </w:tr>
      <w:tr w:rsidR="00BE4C01" w14:paraId="15D16C97" w14:textId="77777777" w:rsidTr="0045749D">
        <w:tc>
          <w:tcPr>
            <w:tcW w:w="9628" w:type="dxa"/>
            <w:shd w:val="clear" w:color="auto" w:fill="D9D9D9" w:themeFill="background1" w:themeFillShade="D9"/>
          </w:tcPr>
          <w:p w14:paraId="2EAF4AB2" w14:textId="47D47A5D" w:rsidR="00BE4C01" w:rsidRPr="005945AC" w:rsidRDefault="00BE4C01" w:rsidP="00BE4C01">
            <w:pPr>
              <w:pStyle w:val="Listeafsnit"/>
              <w:numPr>
                <w:ilvl w:val="0"/>
                <w:numId w:val="1"/>
              </w:numPr>
              <w:rPr>
                <w:b/>
                <w:bCs/>
              </w:rPr>
            </w:pPr>
            <w:r w:rsidRPr="005945AC">
              <w:rPr>
                <w:b/>
                <w:bCs/>
              </w:rPr>
              <w:t>RETNINGSLINJER FRA ESA’ERNE</w:t>
            </w:r>
          </w:p>
        </w:tc>
      </w:tr>
      <w:tr w:rsidR="00BE4C01" w14:paraId="7EFB212B" w14:textId="77777777" w:rsidTr="0045749D">
        <w:tc>
          <w:tcPr>
            <w:tcW w:w="9628" w:type="dxa"/>
            <w:shd w:val="clear" w:color="auto" w:fill="D9D9D9" w:themeFill="background1" w:themeFillShade="D9"/>
          </w:tcPr>
          <w:p w14:paraId="08A36234" w14:textId="6C0B6A7D" w:rsidR="00BE4C01" w:rsidRPr="005945AC" w:rsidRDefault="00BE4C01" w:rsidP="00BE4C01">
            <w:pPr>
              <w:pStyle w:val="Listeafsnit"/>
              <w:numPr>
                <w:ilvl w:val="1"/>
                <w:numId w:val="1"/>
              </w:numPr>
              <w:rPr>
                <w:b/>
                <w:bCs/>
              </w:rPr>
            </w:pPr>
            <w:r w:rsidRPr="005945AC">
              <w:rPr>
                <w:b/>
                <w:bCs/>
              </w:rPr>
              <w:t>EBA</w:t>
            </w:r>
          </w:p>
        </w:tc>
      </w:tr>
      <w:tr w:rsidR="00BE4C01" w14:paraId="46B54A56" w14:textId="77777777" w:rsidTr="00BE4C01">
        <w:tc>
          <w:tcPr>
            <w:tcW w:w="9628" w:type="dxa"/>
          </w:tcPr>
          <w:p w14:paraId="0AF51C80" w14:textId="77777777" w:rsidR="00BE4C01" w:rsidRDefault="00BE4C01"/>
          <w:p w14:paraId="256BA012" w14:textId="4CEF919A" w:rsidR="003D05D2" w:rsidRDefault="003D05D2">
            <w:r>
              <w:t>Intet nyt.</w:t>
            </w:r>
          </w:p>
          <w:p w14:paraId="5E1E2D1B" w14:textId="77777777" w:rsidR="003D05D2" w:rsidRDefault="003D05D2"/>
        </w:tc>
      </w:tr>
      <w:tr w:rsidR="00BE4C01" w14:paraId="2CFF0838" w14:textId="77777777" w:rsidTr="0045749D">
        <w:tc>
          <w:tcPr>
            <w:tcW w:w="9628" w:type="dxa"/>
            <w:shd w:val="clear" w:color="auto" w:fill="D9D9D9" w:themeFill="background1" w:themeFillShade="D9"/>
          </w:tcPr>
          <w:p w14:paraId="01FEF4B9" w14:textId="752585A1" w:rsidR="00BE4C01" w:rsidRPr="005945AC" w:rsidRDefault="00BE4C01" w:rsidP="00BE4C01">
            <w:pPr>
              <w:pStyle w:val="Listeafsnit"/>
              <w:numPr>
                <w:ilvl w:val="1"/>
                <w:numId w:val="1"/>
              </w:numPr>
              <w:rPr>
                <w:b/>
                <w:bCs/>
              </w:rPr>
            </w:pPr>
            <w:r w:rsidRPr="005945AC">
              <w:rPr>
                <w:b/>
                <w:bCs/>
              </w:rPr>
              <w:t>ESMA</w:t>
            </w:r>
          </w:p>
        </w:tc>
      </w:tr>
      <w:tr w:rsidR="00BE4C01" w14:paraId="7F315866" w14:textId="77777777" w:rsidTr="00BE4C01">
        <w:tc>
          <w:tcPr>
            <w:tcW w:w="9628" w:type="dxa"/>
          </w:tcPr>
          <w:p w14:paraId="59C4C478" w14:textId="77777777" w:rsidR="00BE4C01" w:rsidRDefault="00BE4C01"/>
          <w:p w14:paraId="3217DA3C" w14:textId="77777777" w:rsidR="001426CF" w:rsidRPr="00BA66CC" w:rsidRDefault="001426CF" w:rsidP="001426CF">
            <w:pPr>
              <w:jc w:val="both"/>
              <w:rPr>
                <w:b/>
                <w:bCs/>
              </w:rPr>
            </w:pPr>
            <w:bookmarkStart w:id="5" w:name="E"/>
            <w:r w:rsidRPr="00E968BB">
              <w:rPr>
                <w:b/>
                <w:bCs/>
              </w:rPr>
              <w:t>ESMA offentliggør en liste over supplerende udsættelser for statsobligationer</w:t>
            </w:r>
          </w:p>
          <w:bookmarkEnd w:id="5"/>
          <w:p w14:paraId="2C12654C" w14:textId="77777777" w:rsidR="00033D65" w:rsidRDefault="00033D65" w:rsidP="001426CF">
            <w:pPr>
              <w:jc w:val="both"/>
            </w:pPr>
          </w:p>
          <w:p w14:paraId="581C0FDB" w14:textId="20197784" w:rsidR="001426CF" w:rsidRPr="00BA66CC" w:rsidRDefault="001426CF" w:rsidP="001426CF">
            <w:pPr>
              <w:jc w:val="both"/>
            </w:pPr>
            <w:r w:rsidRPr="00E968BB">
              <w:t>ESMA har sammen med de nationale kompetente myndigheder vedtaget udsættelser, som kan anvendes oven på de standardiserede MiFIR-</w:t>
            </w:r>
            <w:r w:rsidR="004859BA">
              <w:t xml:space="preserve"> regler om udsættelse </w:t>
            </w:r>
            <w:r w:rsidR="009953D4">
              <w:t xml:space="preserve">af efterhandelsgennemsigtighed </w:t>
            </w:r>
            <w:r w:rsidRPr="00E968BB">
              <w:t>for statsobligationer.</w:t>
            </w:r>
          </w:p>
          <w:p w14:paraId="137E602A" w14:textId="77777777" w:rsidR="00033D65" w:rsidRDefault="00033D65" w:rsidP="001426CF">
            <w:pPr>
              <w:jc w:val="both"/>
            </w:pPr>
          </w:p>
          <w:p w14:paraId="47991927" w14:textId="58C4DDD0" w:rsidR="001426CF" w:rsidRDefault="001426CF" w:rsidP="001426CF">
            <w:pPr>
              <w:jc w:val="both"/>
            </w:pPr>
            <w:r>
              <w:t xml:space="preserve">(Offentliggjort den 19. februar 2026, </w:t>
            </w:r>
            <w:hyperlink r:id="rId13" w:history="1">
              <w:r w:rsidRPr="00E968BB">
                <w:rPr>
                  <w:rStyle w:val="Hyperlink"/>
                </w:rPr>
                <w:t>link</w:t>
              </w:r>
            </w:hyperlink>
            <w:r>
              <w:t>)</w:t>
            </w:r>
          </w:p>
          <w:p w14:paraId="3BA1818C" w14:textId="77777777" w:rsidR="00277A4C" w:rsidRDefault="00277A4C" w:rsidP="001426CF">
            <w:pPr>
              <w:jc w:val="both"/>
            </w:pPr>
          </w:p>
          <w:p w14:paraId="4DB28F11" w14:textId="77777777" w:rsidR="00C302DD" w:rsidRDefault="00C302DD" w:rsidP="001426CF">
            <w:pPr>
              <w:jc w:val="both"/>
            </w:pPr>
          </w:p>
          <w:p w14:paraId="3D652238" w14:textId="77777777" w:rsidR="00277A4C" w:rsidRPr="00106EBC" w:rsidRDefault="00277A4C" w:rsidP="00277A4C">
            <w:pPr>
              <w:jc w:val="both"/>
              <w:rPr>
                <w:b/>
                <w:bCs/>
              </w:rPr>
            </w:pPr>
            <w:bookmarkStart w:id="6" w:name="F"/>
            <w:r w:rsidRPr="00DB273A">
              <w:rPr>
                <w:b/>
                <w:bCs/>
              </w:rPr>
              <w:t>ESMA forenkler MiFID II/MiFIR-forpligtelser på markedsdata</w:t>
            </w:r>
          </w:p>
          <w:bookmarkEnd w:id="6"/>
          <w:p w14:paraId="441E2513" w14:textId="77777777" w:rsidR="003D05D2" w:rsidRDefault="003D05D2" w:rsidP="00277A4C">
            <w:pPr>
              <w:jc w:val="both"/>
            </w:pPr>
          </w:p>
          <w:p w14:paraId="6BDE8F44" w14:textId="1DB1ABF2" w:rsidR="00277A4C" w:rsidRPr="001F04AF" w:rsidRDefault="00277A4C" w:rsidP="00277A4C">
            <w:pPr>
              <w:jc w:val="both"/>
            </w:pPr>
            <w:r w:rsidRPr="000C733D">
              <w:t>ESMA</w:t>
            </w:r>
            <w:r>
              <w:t xml:space="preserve"> </w:t>
            </w:r>
            <w:r w:rsidRPr="000C733D">
              <w:t>har trukket sine retningslinjer om MiFID II/MiFIR-forpligtelserne vedrørende markedsdata tilbage</w:t>
            </w:r>
            <w:r w:rsidRPr="001F04AF">
              <w:t xml:space="preserve">, da præciseringer om det emne, de dækkede, er blevet indarbejdet i Kommissionens delegerede forordning (EU) 2025/1156 af 12. juni 2025, som supplerer </w:t>
            </w:r>
            <w:r>
              <w:t>MiFIR.</w:t>
            </w:r>
          </w:p>
          <w:p w14:paraId="1E8107F6" w14:textId="77777777" w:rsidR="003D05D2" w:rsidRDefault="003D05D2" w:rsidP="00277A4C">
            <w:pPr>
              <w:jc w:val="both"/>
            </w:pPr>
          </w:p>
          <w:p w14:paraId="542B0423" w14:textId="538132A7" w:rsidR="00277A4C" w:rsidRPr="00B62585" w:rsidRDefault="00277A4C" w:rsidP="00277A4C">
            <w:pPr>
              <w:jc w:val="both"/>
            </w:pPr>
            <w:r w:rsidRPr="00B62585">
              <w:t xml:space="preserve">(Offentliggjort den 23. februar 2026, </w:t>
            </w:r>
            <w:hyperlink r:id="rId14" w:history="1">
              <w:r w:rsidRPr="00B62585">
                <w:rPr>
                  <w:rStyle w:val="Hyperlink"/>
                </w:rPr>
                <w:t>lin</w:t>
              </w:r>
              <w:r w:rsidRPr="00B62585">
                <w:rPr>
                  <w:rStyle w:val="Hyperlink"/>
                </w:rPr>
                <w:t>k</w:t>
              </w:r>
            </w:hyperlink>
            <w:r w:rsidRPr="00B62585">
              <w:t>)</w:t>
            </w:r>
          </w:p>
          <w:p w14:paraId="114A83DE" w14:textId="77777777" w:rsidR="00277A4C" w:rsidRDefault="00277A4C" w:rsidP="00277A4C">
            <w:pPr>
              <w:jc w:val="both"/>
            </w:pPr>
          </w:p>
          <w:p w14:paraId="3E2FE465" w14:textId="77777777" w:rsidR="00C302DD" w:rsidRPr="00B62585" w:rsidRDefault="00C302DD" w:rsidP="00277A4C">
            <w:pPr>
              <w:jc w:val="both"/>
            </w:pPr>
          </w:p>
          <w:p w14:paraId="1500C7FD" w14:textId="77777777" w:rsidR="00193658" w:rsidRPr="00197106" w:rsidRDefault="00193658" w:rsidP="00193658">
            <w:pPr>
              <w:jc w:val="both"/>
              <w:rPr>
                <w:b/>
                <w:bCs/>
              </w:rPr>
            </w:pPr>
            <w:bookmarkStart w:id="7" w:name="G"/>
            <w:r w:rsidRPr="00184D51">
              <w:rPr>
                <w:b/>
                <w:bCs/>
              </w:rPr>
              <w:t xml:space="preserve">ESMA minder virksomheder om deres forpligtelser under </w:t>
            </w:r>
            <w:r>
              <w:rPr>
                <w:b/>
                <w:bCs/>
              </w:rPr>
              <w:t xml:space="preserve">reglerne om </w:t>
            </w:r>
            <w:r w:rsidRPr="00184D51">
              <w:rPr>
                <w:b/>
                <w:bCs/>
              </w:rPr>
              <w:t>produktinterventioner</w:t>
            </w:r>
            <w:r>
              <w:rPr>
                <w:b/>
                <w:bCs/>
              </w:rPr>
              <w:t xml:space="preserve"> for CFD’er</w:t>
            </w:r>
            <w:r w:rsidRPr="00184D51">
              <w:rPr>
                <w:b/>
                <w:bCs/>
              </w:rPr>
              <w:t xml:space="preserve"> i forbindelse med stigende udbud af evige futures</w:t>
            </w:r>
          </w:p>
          <w:bookmarkEnd w:id="7"/>
          <w:p w14:paraId="498BB6A9" w14:textId="77777777" w:rsidR="003D05D2" w:rsidRDefault="003D05D2" w:rsidP="00193658">
            <w:pPr>
              <w:jc w:val="both"/>
            </w:pPr>
          </w:p>
          <w:p w14:paraId="5A04F81F" w14:textId="2DD2D4E4" w:rsidR="00193658" w:rsidRPr="00197106" w:rsidRDefault="00193658" w:rsidP="00193658">
            <w:pPr>
              <w:jc w:val="both"/>
            </w:pPr>
            <w:r>
              <w:t>ESMA</w:t>
            </w:r>
            <w:r w:rsidRPr="00D34E59">
              <w:t xml:space="preserve"> har </w:t>
            </w:r>
            <w:r w:rsidR="00015AA2">
              <w:t>offentliggjort en udtalelse</w:t>
            </w:r>
            <w:r w:rsidR="001646E4">
              <w:t xml:space="preserve"> om</w:t>
            </w:r>
            <w:r w:rsidRPr="00D34E59">
              <w:t xml:space="preserve"> virksomheder</w:t>
            </w:r>
            <w:r w:rsidR="001646E4">
              <w:t>s</w:t>
            </w:r>
            <w:r w:rsidRPr="00D34E59">
              <w:t xml:space="preserve"> forpligtelse til at vurdere, om udbudte produkter falder inden for rammerne af eksisterende produktinterventionsforanstaltninger på contracts for differences (CFD'er)</w:t>
            </w:r>
            <w:r>
              <w:t>, som er etableret under MiFID II</w:t>
            </w:r>
            <w:r w:rsidRPr="00D34E59">
              <w:t>.</w:t>
            </w:r>
          </w:p>
          <w:p w14:paraId="52CB9649" w14:textId="77777777" w:rsidR="003D05D2" w:rsidRDefault="003D05D2" w:rsidP="00193658">
            <w:pPr>
              <w:jc w:val="both"/>
            </w:pPr>
          </w:p>
          <w:p w14:paraId="0BAF947B" w14:textId="0FEB5940" w:rsidR="00193658" w:rsidRPr="00EF3AC6" w:rsidRDefault="00193658" w:rsidP="00193658">
            <w:pPr>
              <w:jc w:val="both"/>
            </w:pPr>
            <w:r w:rsidRPr="00EF3AC6">
              <w:t xml:space="preserve">(Offentliggjort den 24. februar 2026, </w:t>
            </w:r>
            <w:hyperlink r:id="rId15" w:history="1">
              <w:r w:rsidRPr="00EF3AC6">
                <w:rPr>
                  <w:rStyle w:val="Hyperlink"/>
                </w:rPr>
                <w:t>link</w:t>
              </w:r>
            </w:hyperlink>
            <w:r w:rsidRPr="00EF3AC6">
              <w:t>)</w:t>
            </w:r>
          </w:p>
          <w:p w14:paraId="69DFF6A4" w14:textId="77777777" w:rsidR="00193658" w:rsidRDefault="00193658" w:rsidP="00193658">
            <w:pPr>
              <w:jc w:val="both"/>
            </w:pPr>
          </w:p>
          <w:p w14:paraId="7A522024" w14:textId="77777777" w:rsidR="00C302DD" w:rsidRPr="00EF3AC6" w:rsidRDefault="00C302DD" w:rsidP="00193658">
            <w:pPr>
              <w:jc w:val="both"/>
            </w:pPr>
          </w:p>
          <w:p w14:paraId="61260F5F" w14:textId="77777777" w:rsidR="0079092A" w:rsidRPr="00F96598" w:rsidRDefault="0079092A" w:rsidP="0079092A">
            <w:pPr>
              <w:jc w:val="both"/>
              <w:rPr>
                <w:b/>
                <w:bCs/>
              </w:rPr>
            </w:pPr>
            <w:bookmarkStart w:id="8" w:name="H"/>
            <w:r w:rsidRPr="00D43CF2">
              <w:rPr>
                <w:b/>
                <w:bCs/>
              </w:rPr>
              <w:t xml:space="preserve">ESMA udsender </w:t>
            </w:r>
            <w:r>
              <w:rPr>
                <w:b/>
                <w:bCs/>
              </w:rPr>
              <w:t xml:space="preserve">supervisory briefing </w:t>
            </w:r>
            <w:r w:rsidRPr="00D43CF2">
              <w:rPr>
                <w:b/>
                <w:bCs/>
              </w:rPr>
              <w:t>om algoritmisk handel</w:t>
            </w:r>
          </w:p>
          <w:bookmarkEnd w:id="8"/>
          <w:p w14:paraId="33BF29B1" w14:textId="77777777" w:rsidR="003D05D2" w:rsidRDefault="003D05D2" w:rsidP="0079092A">
            <w:pPr>
              <w:jc w:val="both"/>
            </w:pPr>
          </w:p>
          <w:p w14:paraId="0C28A65A" w14:textId="67514489" w:rsidR="0079092A" w:rsidRPr="00F96598" w:rsidRDefault="0079092A" w:rsidP="0079092A">
            <w:pPr>
              <w:jc w:val="both"/>
            </w:pPr>
            <w:r w:rsidRPr="00E71B1D">
              <w:t xml:space="preserve">Orienteringen </w:t>
            </w:r>
            <w:r>
              <w:t>skal give</w:t>
            </w:r>
            <w:r w:rsidRPr="00E71B1D">
              <w:t xml:space="preserve"> de nationale kompetente myndigheder praktiske værktøjer og præcisere forventninger til virksomheder, der deltager i algoritmisk handel under MiFID II.</w:t>
            </w:r>
          </w:p>
          <w:p w14:paraId="7DCC4CD2" w14:textId="77777777" w:rsidR="008B3E90" w:rsidRDefault="008B3E90" w:rsidP="0079092A">
            <w:pPr>
              <w:jc w:val="both"/>
            </w:pPr>
          </w:p>
          <w:p w14:paraId="0E828152" w14:textId="6518A705" w:rsidR="0079092A" w:rsidRPr="00D6151C" w:rsidRDefault="0079092A" w:rsidP="0079092A">
            <w:pPr>
              <w:jc w:val="both"/>
            </w:pPr>
            <w:r w:rsidRPr="00D6151C">
              <w:t xml:space="preserve">(Offentliggjort den 26. februar 2026, </w:t>
            </w:r>
            <w:hyperlink r:id="rId16" w:history="1">
              <w:r w:rsidRPr="00D6151C">
                <w:rPr>
                  <w:rStyle w:val="Hyperlink"/>
                </w:rPr>
                <w:t>link</w:t>
              </w:r>
            </w:hyperlink>
            <w:r w:rsidRPr="00D6151C">
              <w:t>)</w:t>
            </w:r>
          </w:p>
          <w:p w14:paraId="3FA7EA3A" w14:textId="77777777" w:rsidR="0079092A" w:rsidRDefault="0079092A" w:rsidP="0079092A">
            <w:pPr>
              <w:jc w:val="both"/>
            </w:pPr>
          </w:p>
          <w:p w14:paraId="6249A476" w14:textId="77777777" w:rsidR="00C302DD" w:rsidRPr="00D6151C" w:rsidRDefault="00C302DD" w:rsidP="0079092A">
            <w:pPr>
              <w:jc w:val="both"/>
            </w:pPr>
          </w:p>
          <w:p w14:paraId="71CE5846" w14:textId="77777777" w:rsidR="00780017" w:rsidRPr="00FD3D47" w:rsidRDefault="00780017" w:rsidP="00780017">
            <w:pPr>
              <w:jc w:val="both"/>
              <w:rPr>
                <w:b/>
                <w:bCs/>
              </w:rPr>
            </w:pPr>
            <w:bookmarkStart w:id="9" w:name="I"/>
            <w:r w:rsidRPr="00FC0C29">
              <w:rPr>
                <w:b/>
                <w:bCs/>
              </w:rPr>
              <w:t>ESMA offentliggør resultaterne af de årlige gennemsigtighedsberegninger for aktier og egenkapitallignende instrumenter</w:t>
            </w:r>
          </w:p>
          <w:bookmarkEnd w:id="9"/>
          <w:p w14:paraId="26EB8B0F" w14:textId="77777777" w:rsidR="003D05D2" w:rsidRDefault="003D05D2" w:rsidP="00780017">
            <w:pPr>
              <w:jc w:val="both"/>
            </w:pPr>
          </w:p>
          <w:p w14:paraId="141D76AF" w14:textId="47AF30AF" w:rsidR="00780017" w:rsidRPr="00FD3D47" w:rsidRDefault="00780017" w:rsidP="00780017">
            <w:pPr>
              <w:jc w:val="both"/>
            </w:pPr>
            <w:r>
              <w:t>G</w:t>
            </w:r>
            <w:r w:rsidRPr="00FC0C29">
              <w:t>ennemsigtighedsberegninger</w:t>
            </w:r>
            <w:r>
              <w:t>ne</w:t>
            </w:r>
            <w:r w:rsidRPr="00FC0C29">
              <w:t xml:space="preserve"> for aktier og aktielignende instrumenter vil gælde fra 6. april 2026.</w:t>
            </w:r>
          </w:p>
          <w:p w14:paraId="52E82DF2" w14:textId="77777777" w:rsidR="003D05D2" w:rsidRDefault="003D05D2" w:rsidP="00780017">
            <w:pPr>
              <w:jc w:val="both"/>
            </w:pPr>
          </w:p>
          <w:p w14:paraId="495ED7CA" w14:textId="35427DFD" w:rsidR="00780017" w:rsidRDefault="00780017" w:rsidP="00780017">
            <w:pPr>
              <w:jc w:val="both"/>
            </w:pPr>
            <w:r w:rsidRPr="00860AD9">
              <w:t>(Offentliggjort den 2</w:t>
            </w:r>
            <w:r>
              <w:t>7</w:t>
            </w:r>
            <w:r w:rsidRPr="00860AD9">
              <w:t>. februar 2026,</w:t>
            </w:r>
            <w:r>
              <w:t xml:space="preserve"> </w:t>
            </w:r>
            <w:hyperlink r:id="rId17" w:history="1">
              <w:r w:rsidRPr="00FC0C29">
                <w:rPr>
                  <w:rStyle w:val="Hyperlink"/>
                </w:rPr>
                <w:t>link</w:t>
              </w:r>
            </w:hyperlink>
            <w:r>
              <w:t>)</w:t>
            </w:r>
          </w:p>
          <w:p w14:paraId="29E632A3" w14:textId="77777777" w:rsidR="001426CF" w:rsidRDefault="001426CF"/>
        </w:tc>
      </w:tr>
    </w:tbl>
    <w:p w14:paraId="329D25E6" w14:textId="77777777" w:rsidR="00BE4C01" w:rsidRDefault="00BE4C01"/>
    <w:p w14:paraId="6BBF4DE2" w14:textId="77777777" w:rsidR="00BE4C01" w:rsidRPr="00BE4C01" w:rsidRDefault="00BE4C01" w:rsidP="00BE4C01"/>
    <w:p w14:paraId="251BD954" w14:textId="54A22563" w:rsidR="00BE4C01" w:rsidRPr="00BE4C01" w:rsidRDefault="00BE4C01" w:rsidP="00BE4C01">
      <w:pPr>
        <w:rPr>
          <w:i/>
          <w:iCs/>
        </w:rPr>
      </w:pPr>
      <w:r w:rsidRPr="00BE4C01">
        <w:rPr>
          <w:i/>
          <w:iCs/>
        </w:rPr>
        <w:t xml:space="preserve">Denne oversigt over ny finansiel regulering er udvalgt af </w:t>
      </w:r>
      <w:r w:rsidR="001928E1">
        <w:rPr>
          <w:i/>
          <w:iCs/>
        </w:rPr>
        <w:t>Equity Law Advokatanpartsselskab</w:t>
      </w:r>
      <w:r w:rsidRPr="00BE4C01">
        <w:rPr>
          <w:i/>
          <w:iCs/>
        </w:rPr>
        <w:t xml:space="preserve"> ud fra regulering, der retter sig direkte til fondsmæglerselskaber og deres holdingvirksomheder. Oversigten er en informationstjeneste og udgør ikke juridisk rådgivning, og </w:t>
      </w:r>
      <w:r w:rsidR="000A03EB">
        <w:rPr>
          <w:i/>
          <w:iCs/>
        </w:rPr>
        <w:t>Equity Law Advokatanpartsselskab</w:t>
      </w:r>
      <w:r w:rsidRPr="00BE4C01">
        <w:rPr>
          <w:i/>
          <w:iCs/>
        </w:rPr>
        <w:t xml:space="preserve"> påtager sig ikke ansvar for fejl eller mangler. </w:t>
      </w:r>
      <w:r w:rsidRPr="00BE4C01">
        <w:rPr>
          <w:noProof/>
        </w:rPr>
        <w:drawing>
          <wp:anchor distT="0" distB="0" distL="114300" distR="114300" simplePos="0" relativeHeight="251659264" behindDoc="0" locked="0" layoutInCell="1" allowOverlap="1" wp14:anchorId="7F4E4D6D" wp14:editId="79FD38D8">
            <wp:simplePos x="0" y="0"/>
            <wp:positionH relativeFrom="column">
              <wp:posOffset>-4098</wp:posOffset>
            </wp:positionH>
            <wp:positionV relativeFrom="paragraph">
              <wp:posOffset>168</wp:posOffset>
            </wp:positionV>
            <wp:extent cx="1401445" cy="1504950"/>
            <wp:effectExtent l="0" t="0" r="8255" b="0"/>
            <wp:wrapSquare wrapText="bothSides"/>
            <wp:docPr id="1686948146" name="Billede 1686948146" descr="Et billede, der indeholder person, mur, menneske,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person, mur, menneske, indendørs&#10;&#10;Automatisk genereret beskrivels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3285"/>
                    <a:stretch/>
                  </pic:blipFill>
                  <pic:spPr bwMode="auto">
                    <a:xfrm>
                      <a:off x="0" y="0"/>
                      <a:ext cx="1401445" cy="1504950"/>
                    </a:xfrm>
                    <a:prstGeom prst="rect">
                      <a:avLst/>
                    </a:prstGeom>
                    <a:noFill/>
                    <a:ln>
                      <a:noFill/>
                    </a:ln>
                    <a:extLst>
                      <a:ext uri="{53640926-AAD7-44D8-BBD7-CCE9431645EC}">
                        <a14:shadowObscured xmlns:a14="http://schemas.microsoft.com/office/drawing/2010/main"/>
                      </a:ext>
                    </a:extLst>
                  </pic:spPr>
                </pic:pic>
              </a:graphicData>
            </a:graphic>
          </wp:anchor>
        </w:drawing>
      </w:r>
    </w:p>
    <w:p w14:paraId="386D39AB" w14:textId="228586F2" w:rsidR="00BE4C01" w:rsidRPr="00BE4C01" w:rsidRDefault="00BE4C01" w:rsidP="00BE4C01">
      <w:pPr>
        <w:rPr>
          <w:i/>
          <w:iCs/>
        </w:rPr>
      </w:pPr>
      <w:r w:rsidRPr="00BE4C01">
        <w:rPr>
          <w:i/>
          <w:iCs/>
        </w:rPr>
        <w:t xml:space="preserve">Oversigten er redigeret af advokat Camilla Søborg, </w:t>
      </w:r>
      <w:hyperlink r:id="rId19" w:history="1">
        <w:r w:rsidR="000A03EB" w:rsidRPr="00401311">
          <w:rPr>
            <w:rStyle w:val="Hyperlink"/>
            <w:i/>
            <w:iCs/>
          </w:rPr>
          <w:t>cas@equitylaw.dk</w:t>
        </w:r>
      </w:hyperlink>
      <w:r w:rsidRPr="00BE4C01">
        <w:rPr>
          <w:i/>
          <w:iCs/>
        </w:rPr>
        <w:t xml:space="preserve">, tlf. 53500914, som du kan rette henvendelse til, hvis du har kommentarer eller spørgsmål. </w:t>
      </w:r>
    </w:p>
    <w:p w14:paraId="514A19E8" w14:textId="77777777" w:rsidR="00BE4C01" w:rsidRPr="00BE4C01" w:rsidRDefault="00BE4C01" w:rsidP="00BE4C01">
      <w:pPr>
        <w:rPr>
          <w:i/>
          <w:iCs/>
        </w:rPr>
      </w:pPr>
    </w:p>
    <w:p w14:paraId="22D0A962" w14:textId="09AEDB04" w:rsidR="00BE4C01" w:rsidRPr="00BE4C01" w:rsidRDefault="006C57C3" w:rsidP="00BE4C01">
      <w:r>
        <w:rPr>
          <w:noProof/>
        </w:rPr>
        <w:drawing>
          <wp:inline distT="0" distB="0" distL="0" distR="0" wp14:anchorId="03371999" wp14:editId="5DB5042A">
            <wp:extent cx="1495425" cy="295275"/>
            <wp:effectExtent l="0" t="0" r="9525" b="9525"/>
            <wp:docPr id="994185766" name="Billede 1" descr="Et billede, der indeholder Font/skrifttype, Grafik, logo,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85766" name="Billede 1" descr="Et billede, der indeholder Font/skrifttype, Grafik, logo, tekst&#10;&#10;Automatisk genereret beskrivelse"/>
                    <pic:cNvPicPr>
                      <a:picLocks noChangeAspect="1" noChangeArrowheads="1"/>
                    </pic:cNvPicPr>
                  </pic:nvPicPr>
                  <pic:blipFill rotWithShape="1">
                    <a:blip r:embed="rId20">
                      <a:extLst>
                        <a:ext uri="{28A0092B-C50C-407E-A947-70E740481C1C}">
                          <a14:useLocalDpi xmlns:a14="http://schemas.microsoft.com/office/drawing/2010/main" val="0"/>
                        </a:ext>
                      </a:extLst>
                    </a:blip>
                    <a:srcRect l="9076" t="-2857" r="11765" b="14287"/>
                    <a:stretch/>
                  </pic:blipFill>
                  <pic:spPr bwMode="auto">
                    <a:xfrm>
                      <a:off x="0" y="0"/>
                      <a:ext cx="1495425" cy="295275"/>
                    </a:xfrm>
                    <a:prstGeom prst="rect">
                      <a:avLst/>
                    </a:prstGeom>
                    <a:noFill/>
                    <a:ln>
                      <a:noFill/>
                    </a:ln>
                    <a:extLst>
                      <a:ext uri="{53640926-AAD7-44D8-BBD7-CCE9431645EC}">
                        <a14:shadowObscured xmlns:a14="http://schemas.microsoft.com/office/drawing/2010/main"/>
                      </a:ext>
                    </a:extLst>
                  </pic:spPr>
                </pic:pic>
              </a:graphicData>
            </a:graphic>
          </wp:inline>
        </w:drawing>
      </w:r>
    </w:p>
    <w:p w14:paraId="39FECEBF" w14:textId="64DC358D" w:rsidR="00BE4C01" w:rsidRPr="00BE4C01" w:rsidRDefault="00A356F8" w:rsidP="00BE4C01">
      <w:r>
        <w:t>Equity Law Advokatanpartsselskab</w:t>
      </w:r>
      <w:r w:rsidR="00BE4C01" w:rsidRPr="00BE4C01">
        <w:t>,</w:t>
      </w:r>
      <w:r w:rsidR="00BE4C01" w:rsidRPr="00BE4C01">
        <w:rPr>
          <w:b/>
          <w:bCs/>
        </w:rPr>
        <w:t xml:space="preserve"> </w:t>
      </w:r>
      <w:r w:rsidR="00BE4C01" w:rsidRPr="00BE4C01">
        <w:t xml:space="preserve">CVR-nr. </w:t>
      </w:r>
      <w:r w:rsidR="000D0984" w:rsidRPr="000D0984">
        <w:t>42512273</w:t>
      </w:r>
      <w:r w:rsidR="00BE4C01" w:rsidRPr="00BE4C01">
        <w:t xml:space="preserve">, </w:t>
      </w:r>
      <w:r w:rsidR="000D0984">
        <w:t>Strandvejen 60</w:t>
      </w:r>
      <w:r w:rsidR="00BE4C01" w:rsidRPr="00BE4C01">
        <w:t>, DK-2900 Hellerup</w:t>
      </w:r>
    </w:p>
    <w:p w14:paraId="6AACDA41" w14:textId="77777777" w:rsidR="00BE4C01" w:rsidRDefault="00BE4C01"/>
    <w:sectPr w:rsidR="00BE4C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335C"/>
    <w:multiLevelType w:val="multilevel"/>
    <w:tmpl w:val="DCAC51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63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01"/>
    <w:rsid w:val="00015AA2"/>
    <w:rsid w:val="00033D65"/>
    <w:rsid w:val="0004053A"/>
    <w:rsid w:val="000A03EB"/>
    <w:rsid w:val="000D0984"/>
    <w:rsid w:val="001163B2"/>
    <w:rsid w:val="00136D9B"/>
    <w:rsid w:val="001426CF"/>
    <w:rsid w:val="001646E4"/>
    <w:rsid w:val="00183A30"/>
    <w:rsid w:val="001928E1"/>
    <w:rsid w:val="00193658"/>
    <w:rsid w:val="001A41DD"/>
    <w:rsid w:val="001B06EA"/>
    <w:rsid w:val="001D2801"/>
    <w:rsid w:val="00210630"/>
    <w:rsid w:val="00211D3B"/>
    <w:rsid w:val="0023597D"/>
    <w:rsid w:val="00251B05"/>
    <w:rsid w:val="00265438"/>
    <w:rsid w:val="00277A4C"/>
    <w:rsid w:val="00277FDB"/>
    <w:rsid w:val="002B6B87"/>
    <w:rsid w:val="002F54E8"/>
    <w:rsid w:val="00311FD7"/>
    <w:rsid w:val="00344CB3"/>
    <w:rsid w:val="00392E48"/>
    <w:rsid w:val="003B7D51"/>
    <w:rsid w:val="003C155F"/>
    <w:rsid w:val="003D05D2"/>
    <w:rsid w:val="004044A5"/>
    <w:rsid w:val="004217A6"/>
    <w:rsid w:val="00427ED3"/>
    <w:rsid w:val="0045749D"/>
    <w:rsid w:val="004859BA"/>
    <w:rsid w:val="004D740B"/>
    <w:rsid w:val="00533C93"/>
    <w:rsid w:val="005853F7"/>
    <w:rsid w:val="005945AC"/>
    <w:rsid w:val="005954A7"/>
    <w:rsid w:val="005C2158"/>
    <w:rsid w:val="005C3DDD"/>
    <w:rsid w:val="005D34AF"/>
    <w:rsid w:val="006C0074"/>
    <w:rsid w:val="006C57C3"/>
    <w:rsid w:val="006D349A"/>
    <w:rsid w:val="006F0A05"/>
    <w:rsid w:val="00780017"/>
    <w:rsid w:val="0079092A"/>
    <w:rsid w:val="007F7D8E"/>
    <w:rsid w:val="008901B6"/>
    <w:rsid w:val="008B3E90"/>
    <w:rsid w:val="008F5689"/>
    <w:rsid w:val="0094182E"/>
    <w:rsid w:val="009911B9"/>
    <w:rsid w:val="009953D4"/>
    <w:rsid w:val="009E54E3"/>
    <w:rsid w:val="00A27520"/>
    <w:rsid w:val="00A356F8"/>
    <w:rsid w:val="00A45C6E"/>
    <w:rsid w:val="00A80839"/>
    <w:rsid w:val="00A831C8"/>
    <w:rsid w:val="00A97075"/>
    <w:rsid w:val="00AE7F3E"/>
    <w:rsid w:val="00B02E43"/>
    <w:rsid w:val="00B819D3"/>
    <w:rsid w:val="00BA5D03"/>
    <w:rsid w:val="00BC1F31"/>
    <w:rsid w:val="00BE4C01"/>
    <w:rsid w:val="00C214BB"/>
    <w:rsid w:val="00C21A39"/>
    <w:rsid w:val="00C23EC2"/>
    <w:rsid w:val="00C302DD"/>
    <w:rsid w:val="00CA1A2C"/>
    <w:rsid w:val="00CB2EB4"/>
    <w:rsid w:val="00CC1B92"/>
    <w:rsid w:val="00CC7DC7"/>
    <w:rsid w:val="00D40DB2"/>
    <w:rsid w:val="00DA1547"/>
    <w:rsid w:val="00DD48DD"/>
    <w:rsid w:val="00DD5F7F"/>
    <w:rsid w:val="00E05C43"/>
    <w:rsid w:val="00E30EC0"/>
    <w:rsid w:val="00E6540C"/>
    <w:rsid w:val="00E86EDF"/>
    <w:rsid w:val="00EC537C"/>
    <w:rsid w:val="00F10BC1"/>
    <w:rsid w:val="00F20191"/>
    <w:rsid w:val="00F423C7"/>
    <w:rsid w:val="00FB612C"/>
    <w:rsid w:val="00FC0F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8BD4"/>
  <w15:chartTrackingRefBased/>
  <w15:docId w15:val="{5B722B26-DC46-4DCD-8CA4-7CD3527A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01"/>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4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E4C01"/>
    <w:pPr>
      <w:ind w:left="720"/>
      <w:contextualSpacing/>
    </w:pPr>
  </w:style>
  <w:style w:type="character" w:styleId="Hyperlink">
    <w:name w:val="Hyperlink"/>
    <w:basedOn w:val="Standardskrifttypeiafsnit"/>
    <w:uiPriority w:val="99"/>
    <w:unhideWhenUsed/>
    <w:rsid w:val="00BE4C01"/>
    <w:rPr>
      <w:color w:val="0563C1" w:themeColor="hyperlink"/>
      <w:u w:val="single"/>
    </w:rPr>
  </w:style>
  <w:style w:type="character" w:styleId="Ulstomtale">
    <w:name w:val="Unresolved Mention"/>
    <w:basedOn w:val="Standardskrifttypeiafsnit"/>
    <w:uiPriority w:val="99"/>
    <w:semiHidden/>
    <w:unhideWhenUsed/>
    <w:rsid w:val="00BE4C01"/>
    <w:rPr>
      <w:color w:val="605E5C"/>
      <w:shd w:val="clear" w:color="auto" w:fill="E1DFDD"/>
    </w:rPr>
  </w:style>
  <w:style w:type="character" w:styleId="BesgtLink">
    <w:name w:val="FollowedHyperlink"/>
    <w:basedOn w:val="Standardskrifttypeiafsnit"/>
    <w:uiPriority w:val="99"/>
    <w:semiHidden/>
    <w:unhideWhenUsed/>
    <w:rsid w:val="00FC0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ma.europa.eu/press-news/esma-news/esma-publishes-list-supplementary-deferrals-sovereign-bonds"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DA/TXT/?uri=OJ:L_202600482" TargetMode="External"/><Relationship Id="rId17" Type="http://schemas.openxmlformats.org/officeDocument/2006/relationships/hyperlink" Target="https://www.esma.europa.eu/press-news/esma-news/esma-publishes-results-annual-transparency-calculations-equity-and-equity-3" TargetMode="External"/><Relationship Id="rId2" Type="http://schemas.openxmlformats.org/officeDocument/2006/relationships/customXml" Target="../customXml/item2.xml"/><Relationship Id="rId16" Type="http://schemas.openxmlformats.org/officeDocument/2006/relationships/hyperlink" Target="https://www.esma.europa.eu/press-news/esma-news/esma-issues-supervisory-briefing-algorithmic-tradin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stilsynet.dk/nyheder-og-presse/nyheder-og-pressemeddelelser/2026/feb/faerre-virksomheder-skal-rapportere-om-baeredygtighed-allerede-fra-2025" TargetMode="External"/><Relationship Id="rId5" Type="http://schemas.openxmlformats.org/officeDocument/2006/relationships/numbering" Target="numbering.xml"/><Relationship Id="rId15" Type="http://schemas.openxmlformats.org/officeDocument/2006/relationships/hyperlink" Target="https://www.esma.europa.eu/press-news/esma-news/esma-reminds-firms-their-obligations-under-cfd-product-intervention-measures" TargetMode="External"/><Relationship Id="rId10" Type="http://schemas.openxmlformats.org/officeDocument/2006/relationships/hyperlink" Target="https://www.finanstilsynet.dk/nyheder-og-presse/nyheder-og-pressemeddelelser/2026/feb/indberetning-af-aarsrapporter-for-finansielle-virksomheder-i-2026" TargetMode="External"/><Relationship Id="rId19" Type="http://schemas.openxmlformats.org/officeDocument/2006/relationships/hyperlink" Target="mailto:cas@equitylaw.dk" TargetMode="External"/><Relationship Id="rId4" Type="http://schemas.openxmlformats.org/officeDocument/2006/relationships/customXml" Target="../customXml/item4.xml"/><Relationship Id="rId9" Type="http://schemas.openxmlformats.org/officeDocument/2006/relationships/hyperlink" Target="https://www.retsinformation.dk/eli/lta/2026/345" TargetMode="External"/><Relationship Id="rId14" Type="http://schemas.openxmlformats.org/officeDocument/2006/relationships/hyperlink" Target="https://www.esma.europa.eu/press-news/esma-news/esma-simplifies-mifid-ii-mifir-obligations-market-data"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7d2aa7-4697-4679-89a8-f7ed825373f6" xsi:nil="true"/>
    <lcf76f155ced4ddcb4097134ff3c332f xmlns="e1ad0fee-deb7-4d11-8342-64349c8749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167DF4E06F5744B57C6F8BE5F564CB" ma:contentTypeVersion="20" ma:contentTypeDescription="Opret et nyt dokument." ma:contentTypeScope="" ma:versionID="4c9fdd3f57380a66db669e25b35dd481">
  <xsd:schema xmlns:xsd="http://www.w3.org/2001/XMLSchema" xmlns:xs="http://www.w3.org/2001/XMLSchema" xmlns:p="http://schemas.microsoft.com/office/2006/metadata/properties" xmlns:ns2="e1ad0fee-deb7-4d11-8342-64349c8749bc" xmlns:ns3="547d2aa7-4697-4679-89a8-f7ed825373f6" targetNamespace="http://schemas.microsoft.com/office/2006/metadata/properties" ma:root="true" ma:fieldsID="0701e95dae96647187809806b243026f" ns2:_="" ns3:_="">
    <xsd:import namespace="e1ad0fee-deb7-4d11-8342-64349c8749bc"/>
    <xsd:import namespace="547d2aa7-4697-4679-89a8-f7ed82537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0fee-deb7-4d11-8342-64349c874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d399327e-dec2-4cfd-b9e4-ed826a3a2e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d2aa7-4697-4679-89a8-f7ed825373f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8547f4b9-575f-4bb9-9f4d-53a5a71db9dd}" ma:internalName="TaxCatchAll" ma:showField="CatchAllData" ma:web="547d2aa7-4697-4679-89a8-f7ed82537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F082-B58A-4F52-A56E-EC4AEF91AEFB}">
  <ds:schemaRefs>
    <ds:schemaRef ds:uri="http://schemas.microsoft.com/office/2006/metadata/properties"/>
    <ds:schemaRef ds:uri="http://schemas.microsoft.com/office/infopath/2007/PartnerControls"/>
    <ds:schemaRef ds:uri="547d2aa7-4697-4679-89a8-f7ed825373f6"/>
    <ds:schemaRef ds:uri="e1ad0fee-deb7-4d11-8342-64349c8749bc"/>
  </ds:schemaRefs>
</ds:datastoreItem>
</file>

<file path=customXml/itemProps2.xml><?xml version="1.0" encoding="utf-8"?>
<ds:datastoreItem xmlns:ds="http://schemas.openxmlformats.org/officeDocument/2006/customXml" ds:itemID="{DF44AD3D-F638-4681-B165-D4FC1736A764}">
  <ds:schemaRefs>
    <ds:schemaRef ds:uri="http://schemas.microsoft.com/sharepoint/v3/contenttype/forms"/>
  </ds:schemaRefs>
</ds:datastoreItem>
</file>

<file path=customXml/itemProps3.xml><?xml version="1.0" encoding="utf-8"?>
<ds:datastoreItem xmlns:ds="http://schemas.openxmlformats.org/officeDocument/2006/customXml" ds:itemID="{B1DFC98C-0845-4A94-8D81-1ABEEB67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0fee-deb7-4d11-8342-64349c8749bc"/>
    <ds:schemaRef ds:uri="547d2aa7-4697-4679-89a8-f7ed82537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FEA77-66C8-4E84-BB52-97C00C61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925</Words>
  <Characters>5644</Characters>
  <Application>Microsoft Office Word</Application>
  <DocSecurity>0</DocSecurity>
  <Lines>47</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Søborg</dc:creator>
  <cp:keywords/>
  <dc:description/>
  <cp:lastModifiedBy>Camilla Søborg</cp:lastModifiedBy>
  <cp:revision>58</cp:revision>
  <cp:lastPrinted>2026-03-03T07:51:00Z</cp:lastPrinted>
  <dcterms:created xsi:type="dcterms:W3CDTF">2026-02-25T08:54:00Z</dcterms:created>
  <dcterms:modified xsi:type="dcterms:W3CDTF">2026-03-03T08:22:00Z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0x0101003E167DF4E06F5744B57C6F8BE5F564CB</vt:lpwstr>
  </property>
  <property fmtid="{D5CDD505-2E9C-101B-9397-08002B2CF9AE}" pid="3" name="MediaServiceImageTags">
    <vt:lpwstr/>
  </property>
</Properties>
</file>