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0835" w14:textId="77777777" w:rsidR="00BE4C01" w:rsidRPr="008A1C76" w:rsidRDefault="00BE4C01" w:rsidP="00BE4C01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8A1C76">
        <w:rPr>
          <w:sz w:val="28"/>
          <w:szCs w:val="28"/>
        </w:rPr>
        <w:t>y finansiel regulering</w:t>
      </w:r>
      <w:r>
        <w:rPr>
          <w:sz w:val="28"/>
          <w:szCs w:val="28"/>
        </w:rPr>
        <w:t xml:space="preserve"> for fondsmæglerselskaber</w:t>
      </w:r>
      <w:r w:rsidRPr="008A1C76">
        <w:rPr>
          <w:sz w:val="28"/>
          <w:szCs w:val="28"/>
        </w:rPr>
        <w:t xml:space="preserve"> </w:t>
      </w:r>
    </w:p>
    <w:p w14:paraId="300EB7E4" w14:textId="3F37FC54" w:rsidR="00BE4C01" w:rsidRDefault="00BE4C01" w:rsidP="00BE4C01">
      <w:pPr>
        <w:jc w:val="both"/>
      </w:pPr>
      <w:r>
        <w:t>O</w:t>
      </w:r>
      <w:r w:rsidRPr="005A5267">
        <w:t xml:space="preserve">pdatering for </w:t>
      </w:r>
      <w:r w:rsidR="00C3402D">
        <w:t>juni</w:t>
      </w:r>
      <w:r w:rsidRPr="005A5267">
        <w:t xml:space="preserve"> </w:t>
      </w:r>
      <w:r>
        <w:t xml:space="preserve">måned </w:t>
      </w:r>
      <w:r w:rsidRPr="005A5267">
        <w:t>202</w:t>
      </w:r>
      <w:r w:rsidR="001B06EA">
        <w:t>6</w:t>
      </w:r>
      <w:r w:rsidR="00C3402D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4C01" w14:paraId="00166C89" w14:textId="77777777" w:rsidTr="32138321">
        <w:tc>
          <w:tcPr>
            <w:tcW w:w="9628" w:type="dxa"/>
            <w:shd w:val="clear" w:color="auto" w:fill="D9D9D9" w:themeFill="background1" w:themeFillShade="D9"/>
          </w:tcPr>
          <w:p w14:paraId="6AB36AD5" w14:textId="79E26B0B" w:rsidR="00BE4C01" w:rsidRPr="005945AC" w:rsidRDefault="005945AC">
            <w:pPr>
              <w:rPr>
                <w:b/>
                <w:bCs/>
              </w:rPr>
            </w:pPr>
            <w:r w:rsidRPr="005945AC">
              <w:rPr>
                <w:b/>
                <w:bCs/>
              </w:rPr>
              <w:t>OVERBLIK</w:t>
            </w:r>
          </w:p>
        </w:tc>
      </w:tr>
      <w:tr w:rsidR="00BE4C01" w14:paraId="19A8CD66" w14:textId="77777777" w:rsidTr="32138321">
        <w:tc>
          <w:tcPr>
            <w:tcW w:w="9628" w:type="dxa"/>
          </w:tcPr>
          <w:p w14:paraId="0E898913" w14:textId="77777777" w:rsidR="00865CD0" w:rsidRDefault="00865CD0"/>
          <w:p w14:paraId="4F3E6D86" w14:textId="2EA70D0F" w:rsidR="00F44AAC" w:rsidRDefault="00F44AAC" w:rsidP="32138321">
            <w:r>
              <w:rPr>
                <w:rFonts w:ascii="Calibri" w:eastAsia="Calibri" w:hAnsi="Calibri" w:cs="Calibri"/>
                <w:color w:val="000000" w:themeColor="text1"/>
              </w:rPr>
              <w:t xml:space="preserve">Ny bekendtgørelse </w:t>
            </w:r>
            <w:r w:rsidR="0012439F">
              <w:rPr>
                <w:rFonts w:ascii="Calibri" w:eastAsia="Calibri" w:hAnsi="Calibri" w:cs="Calibri"/>
                <w:color w:val="000000" w:themeColor="text1"/>
              </w:rPr>
              <w:t xml:space="preserve">og vejledning </w:t>
            </w:r>
            <w:r>
              <w:rPr>
                <w:rFonts w:ascii="Calibri" w:eastAsia="Calibri" w:hAnsi="Calibri" w:cs="Calibri"/>
                <w:color w:val="000000" w:themeColor="text1"/>
              </w:rPr>
              <w:t>om genopretningsplaner</w:t>
            </w:r>
            <w:r w:rsidR="0012439F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="00C729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w:anchor="B" w:history="1">
              <w:r w:rsidR="00C729EA" w:rsidRPr="00C729EA">
                <w:rPr>
                  <w:rStyle w:val="Hyperlink"/>
                  <w:rFonts w:ascii="Calibri" w:eastAsia="Calibri" w:hAnsi="Calibri" w:cs="Calibri"/>
                </w:rPr>
                <w:t>link</w:t>
              </w:r>
            </w:hyperlink>
            <w:r w:rsidR="000124F6">
              <w:rPr>
                <w:rFonts w:ascii="Calibri" w:eastAsia="Calibri" w:hAnsi="Calibri" w:cs="Calibri"/>
                <w:color w:val="000000" w:themeColor="text1"/>
              </w:rPr>
              <w:t xml:space="preserve"> og </w:t>
            </w:r>
            <w:hyperlink w:anchor="C" w:history="1">
              <w:r w:rsidR="000124F6" w:rsidRPr="00C729EA">
                <w:rPr>
                  <w:rStyle w:val="Hyperlink"/>
                  <w:rFonts w:ascii="Calibri" w:eastAsia="Calibri" w:hAnsi="Calibri" w:cs="Calibri"/>
                </w:rPr>
                <w:t>link</w:t>
              </w:r>
            </w:hyperlink>
          </w:p>
          <w:p w14:paraId="214CF65E" w14:textId="1EF13B95" w:rsidR="32138321" w:rsidRDefault="32138321" w:rsidP="3213832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B82C5C1" w14:textId="3C8BF58D" w:rsidR="0031022C" w:rsidRDefault="001D6975" w:rsidP="3213832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Ændring af </w:t>
            </w:r>
            <w:r w:rsidR="0031022C">
              <w:rPr>
                <w:rFonts w:ascii="Calibri" w:eastAsia="Calibri" w:hAnsi="Calibri" w:cs="Calibri"/>
                <w:color w:val="000000" w:themeColor="text1"/>
              </w:rPr>
              <w:t xml:space="preserve">RTS om transparens under MiFIR: </w:t>
            </w:r>
            <w:hyperlink w:anchor="D" w:history="1">
              <w:r w:rsidR="000124F6" w:rsidRPr="00C729EA">
                <w:rPr>
                  <w:rStyle w:val="Hyperlink"/>
                  <w:rFonts w:ascii="Calibri" w:eastAsia="Calibri" w:hAnsi="Calibri" w:cs="Calibri"/>
                </w:rPr>
                <w:t>link</w:t>
              </w:r>
            </w:hyperlink>
          </w:p>
          <w:p w14:paraId="45D87394" w14:textId="77777777" w:rsidR="005E08F8" w:rsidRDefault="005E08F8" w:rsidP="3213832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870BCA0" w14:textId="10B7F541" w:rsidR="005E08F8" w:rsidRDefault="005E08F8" w:rsidP="3213832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Opdatering af krav under MAR til insiderlisters format:</w:t>
            </w:r>
            <w:r w:rsidR="00C729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w:anchor="E" w:history="1">
              <w:r w:rsidR="000124F6" w:rsidRPr="00C729EA">
                <w:rPr>
                  <w:rStyle w:val="Hyperlink"/>
                  <w:rFonts w:ascii="Calibri" w:eastAsia="Calibri" w:hAnsi="Calibri" w:cs="Calibri"/>
                </w:rPr>
                <w:t>li</w:t>
              </w:r>
              <w:r w:rsidR="000124F6" w:rsidRPr="00C729EA">
                <w:rPr>
                  <w:rStyle w:val="Hyperlink"/>
                  <w:rFonts w:ascii="Calibri" w:eastAsia="Calibri" w:hAnsi="Calibri" w:cs="Calibri"/>
                </w:rPr>
                <w:t>n</w:t>
              </w:r>
              <w:r w:rsidR="000124F6" w:rsidRPr="00C729EA">
                <w:rPr>
                  <w:rStyle w:val="Hyperlink"/>
                  <w:rFonts w:ascii="Calibri" w:eastAsia="Calibri" w:hAnsi="Calibri" w:cs="Calibri"/>
                </w:rPr>
                <w:t>k</w:t>
              </w:r>
            </w:hyperlink>
          </w:p>
          <w:p w14:paraId="793CC82D" w14:textId="77777777" w:rsidR="001B772C" w:rsidRDefault="001B772C" w:rsidP="3213832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779B5A" w14:textId="23A4342F" w:rsidR="0078774D" w:rsidRPr="0078774D" w:rsidRDefault="001A268B" w:rsidP="0078774D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Tilpasninger</w:t>
            </w:r>
            <w:r w:rsidR="00B401E1">
              <w:rPr>
                <w:rFonts w:ascii="Calibri" w:eastAsia="Calibri" w:hAnsi="Calibri" w:cs="Calibri"/>
                <w:color w:val="000000" w:themeColor="text1"/>
              </w:rPr>
              <w:t xml:space="preserve"> af niveau 2-regler </w:t>
            </w:r>
            <w:r w:rsidR="005B38A0">
              <w:rPr>
                <w:rFonts w:ascii="Calibri" w:eastAsia="Calibri" w:hAnsi="Calibri" w:cs="Calibri"/>
                <w:color w:val="000000" w:themeColor="text1"/>
              </w:rPr>
              <w:t xml:space="preserve">under BRRD </w:t>
            </w:r>
            <w:r w:rsidR="006203BF">
              <w:rPr>
                <w:rFonts w:ascii="Calibri" w:eastAsia="Calibri" w:hAnsi="Calibri" w:cs="Calibri"/>
                <w:color w:val="000000" w:themeColor="text1"/>
              </w:rPr>
              <w:t>efter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IFD og IFR: </w:t>
            </w:r>
            <w:hyperlink w:anchor="F" w:history="1">
              <w:r w:rsidR="009A7154" w:rsidRPr="009A7154">
                <w:rPr>
                  <w:rStyle w:val="Hyperlink"/>
                  <w:rFonts w:ascii="Calibri" w:eastAsia="Calibri" w:hAnsi="Calibri" w:cs="Calibri"/>
                </w:rPr>
                <w:t>link</w:t>
              </w:r>
            </w:hyperlink>
          </w:p>
          <w:p w14:paraId="6EB2CCA3" w14:textId="77777777" w:rsidR="0078774D" w:rsidRDefault="0078774D"/>
          <w:p w14:paraId="6F2ADF2F" w14:textId="78C516D2" w:rsidR="0078774D" w:rsidRDefault="001A268B" w:rsidP="0078774D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Opdatering af </w:t>
            </w:r>
            <w:r w:rsidR="005B1DD0">
              <w:rPr>
                <w:rFonts w:ascii="Calibri" w:eastAsia="Calibri" w:hAnsi="Calibri" w:cs="Calibri"/>
                <w:color w:val="000000" w:themeColor="text1"/>
              </w:rPr>
              <w:t xml:space="preserve">niveau 2-regler under MiFIR </w:t>
            </w:r>
            <w:r w:rsidR="00405174">
              <w:rPr>
                <w:rFonts w:ascii="Calibri" w:eastAsia="Calibri" w:hAnsi="Calibri" w:cs="Calibri"/>
                <w:color w:val="000000" w:themeColor="text1"/>
              </w:rPr>
              <w:t>regler om handelsforpligtelsen for derivater</w:t>
            </w:r>
            <w:r w:rsidR="005B1DD0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="00A2095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w:anchor="G" w:history="1">
              <w:r w:rsidR="009A7154" w:rsidRPr="009A7154">
                <w:rPr>
                  <w:rStyle w:val="Hyperlink"/>
                  <w:rFonts w:ascii="Calibri" w:eastAsia="Calibri" w:hAnsi="Calibri" w:cs="Calibri"/>
                </w:rPr>
                <w:t>link</w:t>
              </w:r>
            </w:hyperlink>
          </w:p>
          <w:p w14:paraId="774E809C" w14:textId="01518312" w:rsidR="00865CD0" w:rsidRPr="00865CD0" w:rsidRDefault="00865CD0"/>
        </w:tc>
      </w:tr>
      <w:tr w:rsidR="00BE4C01" w14:paraId="531CF982" w14:textId="77777777" w:rsidTr="32138321">
        <w:tc>
          <w:tcPr>
            <w:tcW w:w="9628" w:type="dxa"/>
            <w:shd w:val="clear" w:color="auto" w:fill="D9D9D9" w:themeFill="background1" w:themeFillShade="D9"/>
          </w:tcPr>
          <w:p w14:paraId="7BDC7261" w14:textId="6D8F2E20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DANSK REGULERING</w:t>
            </w:r>
          </w:p>
        </w:tc>
      </w:tr>
      <w:tr w:rsidR="00BE4C01" w14:paraId="46B86ADE" w14:textId="77777777" w:rsidTr="32138321">
        <w:tc>
          <w:tcPr>
            <w:tcW w:w="9628" w:type="dxa"/>
            <w:shd w:val="clear" w:color="auto" w:fill="D9D9D9" w:themeFill="background1" w:themeFillShade="D9"/>
          </w:tcPr>
          <w:p w14:paraId="22197C0B" w14:textId="1DB81FB3" w:rsidR="00BE4C01" w:rsidRPr="005945AC" w:rsidRDefault="4E63BEF3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32138321">
              <w:rPr>
                <w:b/>
                <w:bCs/>
              </w:rPr>
              <w:t>Bekendtgørelse</w:t>
            </w:r>
            <w:r w:rsidR="3277BBEC" w:rsidRPr="32138321">
              <w:rPr>
                <w:b/>
                <w:bCs/>
              </w:rPr>
              <w:t>r</w:t>
            </w:r>
            <w:r w:rsidRPr="32138321">
              <w:rPr>
                <w:b/>
                <w:bCs/>
              </w:rPr>
              <w:t xml:space="preserve"> m.v.</w:t>
            </w:r>
            <w:r w:rsidR="5C0141BF" w:rsidRPr="32138321">
              <w:rPr>
                <w:b/>
                <w:bCs/>
              </w:rPr>
              <w:t xml:space="preserve"> </w:t>
            </w:r>
          </w:p>
        </w:tc>
      </w:tr>
      <w:tr w:rsidR="00BE4C01" w14:paraId="159B5602" w14:textId="77777777" w:rsidTr="32138321">
        <w:tc>
          <w:tcPr>
            <w:tcW w:w="9628" w:type="dxa"/>
          </w:tcPr>
          <w:p w14:paraId="4E25764C" w14:textId="3E2D9E56" w:rsidR="00BE4C01" w:rsidRDefault="00BE4C01" w:rsidP="5C11746B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071EB236" w14:textId="19628140" w:rsidR="00BE4C01" w:rsidRDefault="0A42DB60" w:rsidP="00AA0EC2">
            <w:pPr>
              <w:spacing w:after="160" w:line="233" w:lineRule="auto"/>
              <w:jc w:val="both"/>
            </w:pPr>
            <w:bookmarkStart w:id="0" w:name="B"/>
            <w:r w:rsidRPr="5C11746B">
              <w:rPr>
                <w:rFonts w:ascii="Calibri" w:eastAsia="Calibri" w:hAnsi="Calibri" w:cs="Calibri"/>
                <w:b/>
                <w:bCs/>
                <w:color w:val="242424"/>
              </w:rPr>
              <w:t>Bekendtgørelse nr. 536 af 11. juni 2026 om genopretningsplaner for pengeinstitutter, realkreditinstitutter, et skibsfinansieringsinstitut og fondsmæglerselskaber</w:t>
            </w:r>
          </w:p>
          <w:bookmarkEnd w:id="0"/>
          <w:p w14:paraId="12A93D23" w14:textId="63300DF0" w:rsidR="00BE4C01" w:rsidRDefault="0A42DB60" w:rsidP="00C3699A">
            <w:pPr>
              <w:spacing w:after="160" w:line="233" w:lineRule="auto"/>
              <w:jc w:val="both"/>
            </w:pPr>
            <w:r w:rsidRPr="5C11746B">
              <w:rPr>
                <w:rFonts w:ascii="Calibri" w:eastAsia="Calibri" w:hAnsi="Calibri" w:cs="Calibri"/>
                <w:color w:val="242424"/>
              </w:rPr>
              <w:t xml:space="preserve">Bekendtgørelsen </w:t>
            </w:r>
            <w:r w:rsidR="0003104B">
              <w:rPr>
                <w:rFonts w:ascii="Calibri" w:eastAsia="Calibri" w:hAnsi="Calibri" w:cs="Calibri"/>
                <w:color w:val="242424"/>
              </w:rPr>
              <w:t>lemper kravene til genopretningsplaner og indberetning for visse pengeinstitutter. Den ændrer således ikke på fondsmæglerselskabernes forpligtelser.</w:t>
            </w:r>
          </w:p>
          <w:p w14:paraId="227EED20" w14:textId="1B90E0C0" w:rsidR="00BE4C01" w:rsidRDefault="0A42DB60" w:rsidP="00AA0EC2">
            <w:pPr>
              <w:spacing w:after="160" w:line="233" w:lineRule="auto"/>
              <w:jc w:val="both"/>
            </w:pPr>
            <w:r w:rsidRPr="5C11746B">
              <w:rPr>
                <w:rFonts w:ascii="Calibri" w:eastAsia="Calibri" w:hAnsi="Calibri" w:cs="Calibri"/>
                <w:color w:val="242424"/>
              </w:rPr>
              <w:t>Bekendtgørelsen træder i kraft den 1. juli 2026.</w:t>
            </w:r>
          </w:p>
          <w:p w14:paraId="048CC7BE" w14:textId="77777777" w:rsidR="00BE4C01" w:rsidRDefault="0A42DB60" w:rsidP="00AA0EC2">
            <w:pPr>
              <w:spacing w:after="160" w:line="233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5C11746B">
              <w:rPr>
                <w:rFonts w:ascii="Calibri" w:eastAsia="Calibri" w:hAnsi="Calibri" w:cs="Calibri"/>
                <w:color w:val="000000" w:themeColor="text1"/>
              </w:rPr>
              <w:t xml:space="preserve">(Offentliggjort den 19. juni 2026, </w:t>
            </w:r>
            <w:hyperlink r:id="rId9">
              <w:r w:rsidRPr="5C11746B">
                <w:rPr>
                  <w:rStyle w:val="Hyperlink"/>
                  <w:color w:val="0563C1"/>
                </w:rPr>
                <w:t>link</w:t>
              </w:r>
            </w:hyperlink>
            <w:r w:rsidRPr="5C11746B"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="29CEC41D" w:rsidRPr="5C11746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FCB3E47" w14:textId="77777777" w:rsidR="00BD6115" w:rsidRDefault="00BD6115" w:rsidP="00AA0EC2">
            <w:pPr>
              <w:spacing w:after="160" w:line="233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1BFF2796" w14:textId="77777777" w:rsidR="00ED3A23" w:rsidRPr="00AC3321" w:rsidRDefault="00ED3A23" w:rsidP="00ED3A23">
            <w:pPr>
              <w:jc w:val="both"/>
              <w:rPr>
                <w:b/>
                <w:bCs/>
              </w:rPr>
            </w:pPr>
            <w:bookmarkStart w:id="1" w:name="C"/>
            <w:r w:rsidRPr="00AC3321">
              <w:rPr>
                <w:b/>
                <w:bCs/>
              </w:rPr>
              <w:t>Vejledning nr. 9605 af 11. juni 2026 om genopretningsplaner for pengeinstitutter, realkreditinstitutter, et skibsfinansieringsinstitut og fondsmæglerselskaber</w:t>
            </w:r>
          </w:p>
          <w:bookmarkEnd w:id="1"/>
          <w:p w14:paraId="63FE7977" w14:textId="77777777" w:rsidR="00695F57" w:rsidRDefault="00695F57" w:rsidP="00ED3A23">
            <w:pPr>
              <w:jc w:val="both"/>
            </w:pPr>
          </w:p>
          <w:p w14:paraId="23383A3C" w14:textId="6FD09887" w:rsidR="00ED3A23" w:rsidRPr="008F4614" w:rsidRDefault="00ED3A23" w:rsidP="00ED3A23">
            <w:pPr>
              <w:jc w:val="both"/>
            </w:pPr>
            <w:r>
              <w:t xml:space="preserve">Vejledningen erstatter den tilsvarende vejledning </w:t>
            </w:r>
            <w:r w:rsidRPr="00F259EB">
              <w:t>nr</w:t>
            </w:r>
            <w:r>
              <w:t>.</w:t>
            </w:r>
            <w:r w:rsidRPr="00F259EB">
              <w:t xml:space="preserve"> 9460 af 26</w:t>
            </w:r>
            <w:r>
              <w:t xml:space="preserve">. juni </w:t>
            </w:r>
            <w:r w:rsidRPr="00F259EB">
              <w:t>2024</w:t>
            </w:r>
            <w:r w:rsidR="007F2E3A">
              <w:t xml:space="preserve"> og </w:t>
            </w:r>
            <w:r w:rsidR="00CD3BE7">
              <w:t>f</w:t>
            </w:r>
            <w:r w:rsidRPr="00586E94">
              <w:t xml:space="preserve">ølger </w:t>
            </w:r>
            <w:r>
              <w:t xml:space="preserve">således </w:t>
            </w:r>
            <w:r w:rsidRPr="00586E94">
              <w:t>ændringer til</w:t>
            </w:r>
            <w:r>
              <w:t xml:space="preserve"> </w:t>
            </w:r>
            <w:r w:rsidRPr="00586E94">
              <w:t>bekendtgørelse</w:t>
            </w:r>
            <w:r w:rsidR="00CD3BE7">
              <w:t>n omtalt ovenfor</w:t>
            </w:r>
            <w:r w:rsidRPr="00586E94">
              <w:t>.</w:t>
            </w:r>
          </w:p>
          <w:p w14:paraId="2D28AE83" w14:textId="77777777" w:rsidR="00695F57" w:rsidRDefault="00695F57" w:rsidP="00AA0EC2">
            <w:pPr>
              <w:jc w:val="both"/>
            </w:pPr>
          </w:p>
          <w:p w14:paraId="6DCD3943" w14:textId="3486A9B1" w:rsidR="00BD6115" w:rsidRDefault="00ED3A23" w:rsidP="00AA0EC2">
            <w:pPr>
              <w:jc w:val="both"/>
            </w:pPr>
            <w:r>
              <w:t xml:space="preserve">(Offentliggjort den 23. juni 2026, </w:t>
            </w:r>
            <w:hyperlink r:id="rId10" w:history="1">
              <w:r w:rsidRPr="00AC3321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2BE89B52" w14:textId="75F31768" w:rsidR="00AA0EC2" w:rsidRDefault="00AA0EC2" w:rsidP="00AA0EC2">
            <w:pPr>
              <w:jc w:val="both"/>
            </w:pPr>
          </w:p>
        </w:tc>
      </w:tr>
      <w:tr w:rsidR="00BE4C01" w14:paraId="2E8F680D" w14:textId="77777777" w:rsidTr="32138321">
        <w:tc>
          <w:tcPr>
            <w:tcW w:w="9628" w:type="dxa"/>
            <w:shd w:val="clear" w:color="auto" w:fill="D9D9D9" w:themeFill="background1" w:themeFillShade="D9"/>
          </w:tcPr>
          <w:p w14:paraId="033F4D91" w14:textId="215F6731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EU-REGULERING (forordninger)</w:t>
            </w:r>
          </w:p>
        </w:tc>
      </w:tr>
      <w:tr w:rsidR="00BE4C01" w14:paraId="6AF8D239" w14:textId="77777777" w:rsidTr="32138321">
        <w:tc>
          <w:tcPr>
            <w:tcW w:w="9628" w:type="dxa"/>
            <w:shd w:val="clear" w:color="auto" w:fill="D9D9D9" w:themeFill="background1" w:themeFillShade="D9"/>
          </w:tcPr>
          <w:p w14:paraId="0C426A68" w14:textId="017C4220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Niveau 1</w:t>
            </w:r>
          </w:p>
        </w:tc>
      </w:tr>
      <w:tr w:rsidR="00BE4C01" w14:paraId="1DF6C69F" w14:textId="77777777" w:rsidTr="32138321">
        <w:tc>
          <w:tcPr>
            <w:tcW w:w="9628" w:type="dxa"/>
          </w:tcPr>
          <w:p w14:paraId="691B5AB5" w14:textId="77777777" w:rsidR="00BE4C01" w:rsidRDefault="00BE4C01"/>
          <w:p w14:paraId="7521EDAE" w14:textId="77777777" w:rsidR="00377E5C" w:rsidRDefault="00377E5C" w:rsidP="00377E5C">
            <w:r>
              <w:t>Intet nyt.</w:t>
            </w:r>
          </w:p>
          <w:p w14:paraId="010E559B" w14:textId="77777777" w:rsidR="00377E5C" w:rsidRDefault="00377E5C"/>
        </w:tc>
      </w:tr>
      <w:tr w:rsidR="00BE4C01" w14:paraId="33726393" w14:textId="77777777" w:rsidTr="32138321">
        <w:tc>
          <w:tcPr>
            <w:tcW w:w="9628" w:type="dxa"/>
            <w:shd w:val="clear" w:color="auto" w:fill="D9D9D9" w:themeFill="background1" w:themeFillShade="D9"/>
          </w:tcPr>
          <w:p w14:paraId="5443431C" w14:textId="42CA405D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Niveau 2</w:t>
            </w:r>
          </w:p>
        </w:tc>
      </w:tr>
      <w:tr w:rsidR="00BE4C01" w14:paraId="041C1121" w14:textId="77777777" w:rsidTr="32138321">
        <w:tc>
          <w:tcPr>
            <w:tcW w:w="9628" w:type="dxa"/>
          </w:tcPr>
          <w:p w14:paraId="5BE15EBF" w14:textId="77777777" w:rsidR="00865CD0" w:rsidRDefault="00865CD0" w:rsidP="00865CD0">
            <w:pPr>
              <w:rPr>
                <w:b/>
                <w:bCs/>
              </w:rPr>
            </w:pPr>
          </w:p>
          <w:p w14:paraId="3587C65E" w14:textId="1929D96E" w:rsidR="00C3402D" w:rsidRDefault="662423FD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bookmarkStart w:id="2" w:name="D"/>
            <w:r w:rsidRPr="32138321">
              <w:rPr>
                <w:rFonts w:ascii="Calibri" w:eastAsia="Calibri" w:hAnsi="Calibri" w:cs="Calibri"/>
                <w:b/>
                <w:bCs/>
                <w:color w:val="000000" w:themeColor="text1"/>
              </w:rPr>
              <w:t>Kommissionens delegerede forordning (EU) 2026/392 af 20. februar 2026 om ændring af de reguleringsmæssige tekniske standarder i delegeret forordning (EU) 2017/577 for så vidt angår volumenbegrænsning og indberetning af oplysninger med henblik på gennemsigtighedsberegninger og andre beregninger</w:t>
            </w:r>
          </w:p>
          <w:bookmarkEnd w:id="2"/>
          <w:p w14:paraId="6287A2D8" w14:textId="77777777" w:rsidR="0012439F" w:rsidRDefault="0012439F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3331F9A5" w14:textId="7104DC63" w:rsidR="00C3402D" w:rsidRDefault="662423FD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2138321">
              <w:rPr>
                <w:rFonts w:ascii="Calibri" w:eastAsia="Calibri" w:hAnsi="Calibri" w:cs="Calibri"/>
                <w:color w:val="000000" w:themeColor="text1"/>
              </w:rPr>
              <w:t xml:space="preserve">Der er tale om ændring af en RTS under MiFIR om volumenloftet og levering af information med henblik på gennemsigtighed og andre beregninger. </w:t>
            </w:r>
          </w:p>
          <w:p w14:paraId="41904639" w14:textId="77777777" w:rsidR="00BD08E9" w:rsidRDefault="00BD08E9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3F960CCA" w14:textId="23BC6F46" w:rsidR="00C3402D" w:rsidRDefault="662423FD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2138321">
              <w:rPr>
                <w:rFonts w:ascii="Calibri" w:eastAsia="Calibri" w:hAnsi="Calibri" w:cs="Calibri"/>
                <w:color w:val="000000" w:themeColor="text1"/>
              </w:rPr>
              <w:t xml:space="preserve">Ændringerne </w:t>
            </w:r>
            <w:r w:rsidR="00CD3BE7">
              <w:rPr>
                <w:rFonts w:ascii="Calibri" w:eastAsia="Calibri" w:hAnsi="Calibri" w:cs="Calibri"/>
                <w:color w:val="000000" w:themeColor="text1"/>
              </w:rPr>
              <w:t>trådte</w:t>
            </w:r>
            <w:r w:rsidRPr="32138321">
              <w:rPr>
                <w:rFonts w:ascii="Calibri" w:eastAsia="Calibri" w:hAnsi="Calibri" w:cs="Calibri"/>
                <w:color w:val="000000" w:themeColor="text1"/>
              </w:rPr>
              <w:t xml:space="preserve"> i kraft den 21. juni 2026.</w:t>
            </w:r>
          </w:p>
          <w:p w14:paraId="55162927" w14:textId="77777777" w:rsidR="00BD08E9" w:rsidRDefault="00BD08E9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19096E6C" w14:textId="56E2C7C1" w:rsidR="00C3402D" w:rsidRDefault="662423FD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2138321">
              <w:rPr>
                <w:rFonts w:ascii="Calibri" w:eastAsia="Calibri" w:hAnsi="Calibri" w:cs="Calibri"/>
                <w:color w:val="000000" w:themeColor="text1"/>
              </w:rPr>
              <w:t xml:space="preserve">(Offentliggjort den 1. juni 2026, </w:t>
            </w:r>
            <w:hyperlink r:id="rId11">
              <w:r w:rsidRPr="32138321">
                <w:rPr>
                  <w:rStyle w:val="Hyperlink"/>
                </w:rPr>
                <w:t>link</w:t>
              </w:r>
            </w:hyperlink>
            <w:r w:rsidRPr="32138321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  <w:p w14:paraId="51D40336" w14:textId="4C9BE3D9" w:rsidR="00C3402D" w:rsidRDefault="00C3402D" w:rsidP="00865CD0"/>
          <w:p w14:paraId="11528D5C" w14:textId="77777777" w:rsidR="009B49DD" w:rsidRDefault="009B49DD" w:rsidP="00865CD0"/>
          <w:p w14:paraId="0716033A" w14:textId="77777777" w:rsidR="00C3402D" w:rsidRPr="00C3402D" w:rsidRDefault="00C3402D" w:rsidP="00C3402D">
            <w:bookmarkStart w:id="3" w:name="E"/>
            <w:r w:rsidRPr="00C3402D">
              <w:rPr>
                <w:b/>
                <w:bCs/>
              </w:rPr>
              <w:t>Kommissionens gennemførelsesforordning (EU) 2026/1291 af 12. juni 2026 om gennemførelsesmæssige tekniske standarder for anvendelsen af Europa-Parlamentets og Rådets forordning (EU) nr. 596/2014 for så vidt angår formatet for insiderlister og om ophævelse af Kommissionens gennemførelsesforordning (EU) 2022/1210 </w:t>
            </w:r>
            <w:r w:rsidRPr="00C3402D">
              <w:t> </w:t>
            </w:r>
          </w:p>
          <w:bookmarkEnd w:id="3"/>
          <w:p w14:paraId="7B8F9B22" w14:textId="77777777" w:rsidR="00BD08E9" w:rsidRDefault="00BD08E9" w:rsidP="00C3402D"/>
          <w:p w14:paraId="4D9A0E29" w14:textId="0947EF6C" w:rsidR="00BD08E9" w:rsidRDefault="00C3402D" w:rsidP="00C3402D">
            <w:r w:rsidRPr="00C3402D">
              <w:t xml:space="preserve">Denne niveau 2-forordning under MAR opdaterer kravene til formatet for insiderlister i anledning af ændringer </w:t>
            </w:r>
            <w:r w:rsidR="00E41B7E">
              <w:t>på</w:t>
            </w:r>
            <w:r w:rsidRPr="00C3402D">
              <w:t xml:space="preserve"> niveau 1 ved Europa-Parlamentets og Rådets forordning (EU) 2024/2809. </w:t>
            </w:r>
          </w:p>
          <w:p w14:paraId="60F9CBDA" w14:textId="77777777" w:rsidR="00BD08E9" w:rsidRDefault="00BD08E9" w:rsidP="00C3402D"/>
          <w:p w14:paraId="7286849C" w14:textId="2A1E218C" w:rsidR="00C3402D" w:rsidRDefault="00C3402D" w:rsidP="00C3402D">
            <w:r w:rsidRPr="00C3402D">
              <w:t>De nye niveau 2-regler træder i kraft pr. 5. juli 2026. </w:t>
            </w:r>
          </w:p>
          <w:p w14:paraId="36693DA3" w14:textId="77777777" w:rsidR="00DF607A" w:rsidRPr="00C3402D" w:rsidRDefault="00DF607A" w:rsidP="00C3402D"/>
          <w:p w14:paraId="2D9A4BE2" w14:textId="77777777" w:rsidR="00C3402D" w:rsidRPr="00C3402D" w:rsidRDefault="00C3402D" w:rsidP="00C3402D">
            <w:r w:rsidRPr="00C3402D">
              <w:t>(Offentliggjort den 12. juni 2026, </w:t>
            </w:r>
            <w:hyperlink r:id="rId12" w:tgtFrame="_blank" w:history="1">
              <w:r w:rsidRPr="00C3402D">
                <w:rPr>
                  <w:rStyle w:val="Hyperlink"/>
                </w:rPr>
                <w:t>link</w:t>
              </w:r>
            </w:hyperlink>
            <w:r w:rsidRPr="00C3402D">
              <w:t>)  </w:t>
            </w:r>
          </w:p>
          <w:p w14:paraId="10A5FCBF" w14:textId="77777777" w:rsidR="00C3402D" w:rsidRDefault="00C3402D" w:rsidP="00865CD0"/>
          <w:p w14:paraId="2150E808" w14:textId="77777777" w:rsidR="009B49DD" w:rsidRPr="00865CD0" w:rsidRDefault="009B49DD" w:rsidP="00865CD0"/>
          <w:p w14:paraId="015EFAC6" w14:textId="05A1E800" w:rsidR="1DD55C18" w:rsidRDefault="1DD55C18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bookmarkStart w:id="4" w:name="F"/>
            <w:r w:rsidRPr="32138321">
              <w:rPr>
                <w:rFonts w:ascii="Calibri" w:eastAsia="Calibri" w:hAnsi="Calibri" w:cs="Calibri"/>
                <w:b/>
                <w:bCs/>
                <w:color w:val="000000" w:themeColor="text1"/>
              </w:rPr>
              <w:t>Kommissionens delegerede forordning (EU) 2026/440 af 24. februar 2026 om ændring af delegeret forordning (EU) 2015/63 for så vidt angår beregning af visse institutters bidrag, sletning af en risikoindikator og proceduremæssige ændringer</w:t>
            </w:r>
          </w:p>
          <w:bookmarkEnd w:id="4"/>
          <w:p w14:paraId="172DFF29" w14:textId="77777777" w:rsidR="00695F57" w:rsidRDefault="00695F57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66BBFE35" w14:textId="39CCC581" w:rsidR="1DD55C18" w:rsidRDefault="1DD55C18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2138321">
              <w:rPr>
                <w:rFonts w:ascii="Calibri" w:eastAsia="Calibri" w:hAnsi="Calibri" w:cs="Calibri"/>
                <w:color w:val="000000" w:themeColor="text1"/>
              </w:rPr>
              <w:t xml:space="preserve">Denne delegerede forordning under BRRD ændrer bidragene fra visse investeringsselskaber for at tage højde for ændringer vedrørende anvendelsen af BRRD, der er indført for investeringsselskaber ved IFR og IFD. </w:t>
            </w:r>
          </w:p>
          <w:p w14:paraId="3586ECC7" w14:textId="77777777" w:rsidR="00FE60F4" w:rsidRDefault="00FE60F4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4F94D654" w14:textId="23DE8DA0" w:rsidR="1DD55C18" w:rsidRDefault="1DD55C18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2138321">
              <w:rPr>
                <w:rFonts w:ascii="Calibri" w:eastAsia="Calibri" w:hAnsi="Calibri" w:cs="Calibri"/>
                <w:color w:val="000000" w:themeColor="text1"/>
              </w:rPr>
              <w:t xml:space="preserve">(Offentliggjort den 3. juni 2026, </w:t>
            </w:r>
            <w:hyperlink r:id="rId13">
              <w:r w:rsidRPr="32138321">
                <w:rPr>
                  <w:rStyle w:val="Hyperlink"/>
                </w:rPr>
                <w:t>link</w:t>
              </w:r>
            </w:hyperlink>
            <w:r w:rsidRPr="32138321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  <w:p w14:paraId="4710994C" w14:textId="38A841B4" w:rsidR="32138321" w:rsidRDefault="32138321"/>
          <w:p w14:paraId="2078753D" w14:textId="77777777" w:rsidR="00BD503D" w:rsidRDefault="00BD503D"/>
          <w:p w14:paraId="1F21BDC4" w14:textId="34C18EB3" w:rsidR="55145D53" w:rsidRDefault="55145D53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bookmarkStart w:id="5" w:name="G"/>
            <w:r w:rsidRPr="3213832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Kommissionens gennemførelsesforordning (EU) 2026/1288 af 12. juni 2026 om den enkeltstående suspension af handelsforpligtelsen for derivater i overensstemmelse med Europa-Parlamentets og Rådets forordning (EU) nr. 600/2014 </w:t>
            </w:r>
          </w:p>
          <w:bookmarkEnd w:id="5"/>
          <w:p w14:paraId="2AB0ABA7" w14:textId="77777777" w:rsidR="00695F57" w:rsidRDefault="00695F57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035773C8" w14:textId="6BC89B61" w:rsidR="00FE60F4" w:rsidRDefault="55145D53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2138321">
              <w:rPr>
                <w:rFonts w:ascii="Calibri" w:eastAsia="Calibri" w:hAnsi="Calibri" w:cs="Calibri"/>
                <w:color w:val="000000" w:themeColor="text1"/>
              </w:rPr>
              <w:t xml:space="preserve">Ved denne niveau 2-forordning under MiFIR har Kommissionen udnyttet en mulighed for i henhold til artikel 32a at suspendere handelsforpligtelsen for derivater med hensyn til visse nærmere opregnede finansielle modparter. </w:t>
            </w:r>
          </w:p>
          <w:p w14:paraId="4BD00F57" w14:textId="77777777" w:rsidR="00FE60F4" w:rsidRDefault="00FE60F4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7732CA07" w14:textId="544F1E75" w:rsidR="55145D53" w:rsidRDefault="55145D53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2138321">
              <w:rPr>
                <w:rFonts w:ascii="Calibri" w:eastAsia="Calibri" w:hAnsi="Calibri" w:cs="Calibri"/>
                <w:color w:val="000000" w:themeColor="text1"/>
              </w:rPr>
              <w:t xml:space="preserve">Forordningen </w:t>
            </w:r>
            <w:r w:rsidR="00FE60F4">
              <w:rPr>
                <w:rFonts w:ascii="Calibri" w:eastAsia="Calibri" w:hAnsi="Calibri" w:cs="Calibri"/>
                <w:color w:val="000000" w:themeColor="text1"/>
              </w:rPr>
              <w:t>trådte</w:t>
            </w:r>
            <w:r w:rsidRPr="32138321">
              <w:rPr>
                <w:rFonts w:ascii="Calibri" w:eastAsia="Calibri" w:hAnsi="Calibri" w:cs="Calibri"/>
                <w:color w:val="000000" w:themeColor="text1"/>
              </w:rPr>
              <w:t xml:space="preserve"> i kraft den 18. juni 2026.</w:t>
            </w:r>
          </w:p>
          <w:p w14:paraId="1872D9FA" w14:textId="77777777" w:rsidR="000B20FF" w:rsidRDefault="000B20FF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186BE7D4" w14:textId="1DEC973E" w:rsidR="55145D53" w:rsidRDefault="55145D53" w:rsidP="3213832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2138321">
              <w:rPr>
                <w:rFonts w:ascii="Calibri" w:eastAsia="Calibri" w:hAnsi="Calibri" w:cs="Calibri"/>
                <w:color w:val="000000" w:themeColor="text1"/>
              </w:rPr>
              <w:t xml:space="preserve">(Offentliggjort den 12. juni 2026, </w:t>
            </w:r>
            <w:hyperlink r:id="rId14">
              <w:r w:rsidRPr="32138321">
                <w:rPr>
                  <w:rStyle w:val="Hyperlink"/>
                </w:rPr>
                <w:t>link</w:t>
              </w:r>
            </w:hyperlink>
            <w:r w:rsidRPr="32138321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  <w:p w14:paraId="570C0B58" w14:textId="77777777" w:rsidR="00BE4C01" w:rsidRDefault="00BE4C01" w:rsidP="000B20FF">
            <w:pPr>
              <w:jc w:val="both"/>
            </w:pPr>
          </w:p>
        </w:tc>
      </w:tr>
      <w:tr w:rsidR="00BE4C01" w14:paraId="15D16C97" w14:textId="77777777" w:rsidTr="32138321">
        <w:tc>
          <w:tcPr>
            <w:tcW w:w="9628" w:type="dxa"/>
            <w:shd w:val="clear" w:color="auto" w:fill="D9D9D9" w:themeFill="background1" w:themeFillShade="D9"/>
          </w:tcPr>
          <w:p w14:paraId="2EAF4AB2" w14:textId="47D47A5D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RETNINGSLINJER FRA ESA’ERNE</w:t>
            </w:r>
          </w:p>
        </w:tc>
      </w:tr>
      <w:tr w:rsidR="00BE4C01" w14:paraId="7EFB212B" w14:textId="77777777" w:rsidTr="32138321">
        <w:tc>
          <w:tcPr>
            <w:tcW w:w="9628" w:type="dxa"/>
            <w:shd w:val="clear" w:color="auto" w:fill="D9D9D9" w:themeFill="background1" w:themeFillShade="D9"/>
          </w:tcPr>
          <w:p w14:paraId="08A36234" w14:textId="6C0B6A7D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EBA</w:t>
            </w:r>
          </w:p>
        </w:tc>
      </w:tr>
      <w:tr w:rsidR="00BE4C01" w14:paraId="46B54A56" w14:textId="77777777" w:rsidTr="32138321">
        <w:tc>
          <w:tcPr>
            <w:tcW w:w="9628" w:type="dxa"/>
          </w:tcPr>
          <w:p w14:paraId="1068BBB4" w14:textId="77777777" w:rsidR="00BE4C01" w:rsidRDefault="00BE4C01"/>
          <w:p w14:paraId="183DC4BC" w14:textId="5D399019" w:rsidR="005957E7" w:rsidRDefault="00377E5C">
            <w:r>
              <w:t>Intet nyt.</w:t>
            </w:r>
          </w:p>
          <w:p w14:paraId="5E1E2D1B" w14:textId="77777777" w:rsidR="005957E7" w:rsidRDefault="005957E7"/>
        </w:tc>
      </w:tr>
      <w:tr w:rsidR="00BE4C01" w14:paraId="2CFF0838" w14:textId="77777777" w:rsidTr="32138321">
        <w:tc>
          <w:tcPr>
            <w:tcW w:w="9628" w:type="dxa"/>
            <w:shd w:val="clear" w:color="auto" w:fill="D9D9D9" w:themeFill="background1" w:themeFillShade="D9"/>
          </w:tcPr>
          <w:p w14:paraId="01FEF4B9" w14:textId="752585A1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ESMA</w:t>
            </w:r>
          </w:p>
        </w:tc>
      </w:tr>
      <w:tr w:rsidR="00BE4C01" w14:paraId="7F315866" w14:textId="77777777" w:rsidTr="32138321">
        <w:tc>
          <w:tcPr>
            <w:tcW w:w="9628" w:type="dxa"/>
          </w:tcPr>
          <w:p w14:paraId="05386FF6" w14:textId="77777777" w:rsidR="00BE4C01" w:rsidRDefault="00BE4C01"/>
          <w:p w14:paraId="6BFBE153" w14:textId="77777777" w:rsidR="00377E5C" w:rsidRDefault="00377E5C" w:rsidP="00377E5C">
            <w:r>
              <w:lastRenderedPageBreak/>
              <w:t>Intet nyt.</w:t>
            </w:r>
          </w:p>
          <w:p w14:paraId="29E632A3" w14:textId="77777777" w:rsidR="00377E5C" w:rsidRDefault="00377E5C"/>
        </w:tc>
      </w:tr>
    </w:tbl>
    <w:p w14:paraId="329D25E6" w14:textId="77777777" w:rsidR="00BE4C01" w:rsidRDefault="00BE4C01"/>
    <w:p w14:paraId="6BBF4DE2" w14:textId="77777777" w:rsidR="00BE4C01" w:rsidRPr="00BE4C01" w:rsidRDefault="00BE4C01" w:rsidP="00BE4C01"/>
    <w:p w14:paraId="251BD954" w14:textId="54A22563" w:rsidR="00BE4C01" w:rsidRPr="00BE4C01" w:rsidRDefault="00BE4C01" w:rsidP="00BE4C01">
      <w:pPr>
        <w:rPr>
          <w:i/>
          <w:iCs/>
        </w:rPr>
      </w:pPr>
      <w:r w:rsidRPr="00BE4C01">
        <w:rPr>
          <w:i/>
          <w:iCs/>
        </w:rPr>
        <w:t xml:space="preserve">Denne oversigt over ny finansiel regulering er udvalgt af </w:t>
      </w:r>
      <w:r w:rsidR="001928E1">
        <w:rPr>
          <w:i/>
          <w:iCs/>
        </w:rPr>
        <w:t>Equity Law Advokatanpartsselskab</w:t>
      </w:r>
      <w:r w:rsidRPr="00BE4C01">
        <w:rPr>
          <w:i/>
          <w:iCs/>
        </w:rPr>
        <w:t xml:space="preserve"> ud fra regulering, der retter sig direkte til fondsmæglerselskaber og deres holdingvirksomheder. Oversigten er en informationstjeneste og udgør ikke juridisk rådgivning, og </w:t>
      </w:r>
      <w:r w:rsidR="000A03EB">
        <w:rPr>
          <w:i/>
          <w:iCs/>
        </w:rPr>
        <w:t>Equity Law Advokatanpartsselskab</w:t>
      </w:r>
      <w:r w:rsidRPr="00BE4C01">
        <w:rPr>
          <w:i/>
          <w:iCs/>
        </w:rPr>
        <w:t xml:space="preserve"> påtager sig ikke ansvar for fejl eller mangler. </w:t>
      </w:r>
      <w:r w:rsidRPr="00BE4C01">
        <w:rPr>
          <w:noProof/>
        </w:rPr>
        <w:drawing>
          <wp:anchor distT="0" distB="0" distL="114300" distR="114300" simplePos="0" relativeHeight="251659264" behindDoc="0" locked="0" layoutInCell="1" allowOverlap="1" wp14:anchorId="7F4E4D6D" wp14:editId="79FD38D8">
            <wp:simplePos x="0" y="0"/>
            <wp:positionH relativeFrom="column">
              <wp:posOffset>-4098</wp:posOffset>
            </wp:positionH>
            <wp:positionV relativeFrom="paragraph">
              <wp:posOffset>168</wp:posOffset>
            </wp:positionV>
            <wp:extent cx="1401445" cy="1504950"/>
            <wp:effectExtent l="0" t="0" r="8255" b="0"/>
            <wp:wrapSquare wrapText="bothSides"/>
            <wp:docPr id="1686948146" name="Billede 1686948146" descr="Et billede, der indeholder person, mur, menneske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person, mur, menneske, indendørs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85"/>
                    <a:stretch/>
                  </pic:blipFill>
                  <pic:spPr bwMode="auto">
                    <a:xfrm>
                      <a:off x="0" y="0"/>
                      <a:ext cx="14014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86D39AB" w14:textId="228586F2" w:rsidR="00BE4C01" w:rsidRPr="00BE4C01" w:rsidRDefault="00BE4C01" w:rsidP="00BE4C01">
      <w:pPr>
        <w:rPr>
          <w:i/>
          <w:iCs/>
        </w:rPr>
      </w:pPr>
      <w:r w:rsidRPr="00BE4C01">
        <w:rPr>
          <w:i/>
          <w:iCs/>
        </w:rPr>
        <w:t xml:space="preserve">Oversigten er redigeret af advokat Camilla Søborg, </w:t>
      </w:r>
      <w:hyperlink r:id="rId16" w:history="1">
        <w:r w:rsidR="000A03EB" w:rsidRPr="00401311">
          <w:rPr>
            <w:rStyle w:val="Hyperlink"/>
            <w:i/>
            <w:iCs/>
          </w:rPr>
          <w:t>cas@equitylaw.dk</w:t>
        </w:r>
      </w:hyperlink>
      <w:r w:rsidRPr="00BE4C01">
        <w:rPr>
          <w:i/>
          <w:iCs/>
        </w:rPr>
        <w:t xml:space="preserve">, tlf. 53500914, som du kan rette henvendelse til, hvis du har kommentarer eller spørgsmål. </w:t>
      </w:r>
    </w:p>
    <w:p w14:paraId="514A19E8" w14:textId="77777777" w:rsidR="00BE4C01" w:rsidRPr="00BE4C01" w:rsidRDefault="00BE4C01" w:rsidP="00BE4C01">
      <w:pPr>
        <w:rPr>
          <w:i/>
          <w:iCs/>
        </w:rPr>
      </w:pPr>
    </w:p>
    <w:p w14:paraId="22D0A962" w14:textId="09AEDB04" w:rsidR="00BE4C01" w:rsidRPr="00BE4C01" w:rsidRDefault="006C57C3" w:rsidP="00BE4C01">
      <w:r>
        <w:rPr>
          <w:noProof/>
        </w:rPr>
        <w:drawing>
          <wp:inline distT="0" distB="0" distL="0" distR="0" wp14:anchorId="03371999" wp14:editId="5DB5042A">
            <wp:extent cx="1495425" cy="295275"/>
            <wp:effectExtent l="0" t="0" r="9525" b="9525"/>
            <wp:docPr id="994185766" name="Billede 1" descr="Et billede, der indeholder Font/skrifttype, Grafik, logo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85766" name="Billede 1" descr="Et billede, der indeholder Font/skrifttype, Grafik, logo, tekst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6" t="-2857" r="11765" b="14287"/>
                    <a:stretch/>
                  </pic:blipFill>
                  <pic:spPr bwMode="auto">
                    <a:xfrm>
                      <a:off x="0" y="0"/>
                      <a:ext cx="1495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ECEBF" w14:textId="64DC358D" w:rsidR="00BE4C01" w:rsidRPr="00BE4C01" w:rsidRDefault="00A356F8" w:rsidP="00BE4C01">
      <w:r>
        <w:t>Equity Law Advokatanpartsselskab</w:t>
      </w:r>
      <w:r w:rsidR="00BE4C01" w:rsidRPr="00BE4C01">
        <w:t>,</w:t>
      </w:r>
      <w:r w:rsidR="00BE4C01" w:rsidRPr="00BE4C01">
        <w:rPr>
          <w:b/>
          <w:bCs/>
        </w:rPr>
        <w:t xml:space="preserve"> </w:t>
      </w:r>
      <w:r w:rsidR="00BE4C01" w:rsidRPr="00BE4C01">
        <w:t xml:space="preserve">CVR-nr. </w:t>
      </w:r>
      <w:r w:rsidR="000D0984" w:rsidRPr="000D0984">
        <w:t>42512273</w:t>
      </w:r>
      <w:r w:rsidR="00BE4C01" w:rsidRPr="00BE4C01">
        <w:t xml:space="preserve">, </w:t>
      </w:r>
      <w:r w:rsidR="000D0984">
        <w:t>Strandvejen 60</w:t>
      </w:r>
      <w:r w:rsidR="00BE4C01" w:rsidRPr="00BE4C01">
        <w:t>, DK-2900 Hellerup</w:t>
      </w:r>
    </w:p>
    <w:p w14:paraId="6AACDA41" w14:textId="77777777" w:rsidR="00BE4C01" w:rsidRDefault="00BE4C01"/>
    <w:sectPr w:rsidR="00BE4C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335C"/>
    <w:multiLevelType w:val="multilevel"/>
    <w:tmpl w:val="DCAC5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46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01"/>
    <w:rsid w:val="000124F6"/>
    <w:rsid w:val="00027CF7"/>
    <w:rsid w:val="0003104B"/>
    <w:rsid w:val="00077D5F"/>
    <w:rsid w:val="000A03EB"/>
    <w:rsid w:val="000B20FF"/>
    <w:rsid w:val="000D0984"/>
    <w:rsid w:val="001163B2"/>
    <w:rsid w:val="0012439F"/>
    <w:rsid w:val="00136D9B"/>
    <w:rsid w:val="001928E1"/>
    <w:rsid w:val="001A268B"/>
    <w:rsid w:val="001B06EA"/>
    <w:rsid w:val="001B772C"/>
    <w:rsid w:val="001D2801"/>
    <w:rsid w:val="001D6975"/>
    <w:rsid w:val="00265438"/>
    <w:rsid w:val="002B6B87"/>
    <w:rsid w:val="0030191E"/>
    <w:rsid w:val="0031022C"/>
    <w:rsid w:val="00344CB3"/>
    <w:rsid w:val="00377E5C"/>
    <w:rsid w:val="003B7D51"/>
    <w:rsid w:val="004044A5"/>
    <w:rsid w:val="00405174"/>
    <w:rsid w:val="00427ED3"/>
    <w:rsid w:val="0044008C"/>
    <w:rsid w:val="0045749D"/>
    <w:rsid w:val="004D6653"/>
    <w:rsid w:val="004D740B"/>
    <w:rsid w:val="00504849"/>
    <w:rsid w:val="00533C93"/>
    <w:rsid w:val="005622B2"/>
    <w:rsid w:val="005945AC"/>
    <w:rsid w:val="005957E7"/>
    <w:rsid w:val="005B1DD0"/>
    <w:rsid w:val="005B27CA"/>
    <w:rsid w:val="005B38A0"/>
    <w:rsid w:val="005C2158"/>
    <w:rsid w:val="005E08F8"/>
    <w:rsid w:val="005E48B5"/>
    <w:rsid w:val="006203BF"/>
    <w:rsid w:val="0064726B"/>
    <w:rsid w:val="00675DB4"/>
    <w:rsid w:val="00695F57"/>
    <w:rsid w:val="0069758D"/>
    <w:rsid w:val="006C0074"/>
    <w:rsid w:val="006C57C3"/>
    <w:rsid w:val="0078774D"/>
    <w:rsid w:val="007D1F52"/>
    <w:rsid w:val="007F2E3A"/>
    <w:rsid w:val="00865CD0"/>
    <w:rsid w:val="0088346A"/>
    <w:rsid w:val="008901B6"/>
    <w:rsid w:val="008B5212"/>
    <w:rsid w:val="009911B9"/>
    <w:rsid w:val="009A7154"/>
    <w:rsid w:val="009B49DD"/>
    <w:rsid w:val="00A02E20"/>
    <w:rsid w:val="00A2095F"/>
    <w:rsid w:val="00A356F8"/>
    <w:rsid w:val="00A75438"/>
    <w:rsid w:val="00A831C8"/>
    <w:rsid w:val="00A97075"/>
    <w:rsid w:val="00AA0EC2"/>
    <w:rsid w:val="00B02E43"/>
    <w:rsid w:val="00B401E1"/>
    <w:rsid w:val="00BA5D03"/>
    <w:rsid w:val="00BC1F31"/>
    <w:rsid w:val="00BD08E9"/>
    <w:rsid w:val="00BD503D"/>
    <w:rsid w:val="00BD6115"/>
    <w:rsid w:val="00BE4C01"/>
    <w:rsid w:val="00C21A39"/>
    <w:rsid w:val="00C3402D"/>
    <w:rsid w:val="00C3699A"/>
    <w:rsid w:val="00C729EA"/>
    <w:rsid w:val="00CB5816"/>
    <w:rsid w:val="00CB7DDF"/>
    <w:rsid w:val="00CD3BE7"/>
    <w:rsid w:val="00D26C54"/>
    <w:rsid w:val="00DD48DD"/>
    <w:rsid w:val="00DF607A"/>
    <w:rsid w:val="00E41B7E"/>
    <w:rsid w:val="00ED3A23"/>
    <w:rsid w:val="00F10BC1"/>
    <w:rsid w:val="00F44AAC"/>
    <w:rsid w:val="00FE60F4"/>
    <w:rsid w:val="03C8F19E"/>
    <w:rsid w:val="06904415"/>
    <w:rsid w:val="0A42DB60"/>
    <w:rsid w:val="18FBC73A"/>
    <w:rsid w:val="1DD55C18"/>
    <w:rsid w:val="2607AED6"/>
    <w:rsid w:val="29CEC41D"/>
    <w:rsid w:val="2D35E58C"/>
    <w:rsid w:val="32138321"/>
    <w:rsid w:val="3277BBEC"/>
    <w:rsid w:val="341A8665"/>
    <w:rsid w:val="35396FD6"/>
    <w:rsid w:val="36566ED7"/>
    <w:rsid w:val="3E6CD712"/>
    <w:rsid w:val="3F412BFB"/>
    <w:rsid w:val="44A4FEF6"/>
    <w:rsid w:val="48F48A41"/>
    <w:rsid w:val="49503C47"/>
    <w:rsid w:val="4E63BEF3"/>
    <w:rsid w:val="4EA1FB2D"/>
    <w:rsid w:val="5143B28E"/>
    <w:rsid w:val="55145D53"/>
    <w:rsid w:val="5C0141BF"/>
    <w:rsid w:val="5C11746B"/>
    <w:rsid w:val="6382C9CC"/>
    <w:rsid w:val="662423FD"/>
    <w:rsid w:val="699F6739"/>
    <w:rsid w:val="6E659F44"/>
    <w:rsid w:val="72B8EB86"/>
    <w:rsid w:val="765A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8BD4"/>
  <w15:chartTrackingRefBased/>
  <w15:docId w15:val="{5B722B26-DC46-4DCD-8CA4-7CD3527A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C01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E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E4C0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E4C0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4C0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975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DA/TXT/?uri=OJ:L_20260044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DA/TXT/?uri=OJ:L_202601291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cas@equitylaw.d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DA/TXT/?uri=OJ:L_202600392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hyperlink" Target="https://www.retsinformation.dk/eli/retsinfo/2026/9605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retsinformation.dk/eli/lta/2026/536" TargetMode="External"/><Relationship Id="rId14" Type="http://schemas.openxmlformats.org/officeDocument/2006/relationships/hyperlink" Target="https://eur-lex.europa.eu/legal-content/DA/TXT/?uri=OJ:L_20260128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d2aa7-4697-4679-89a8-f7ed825373f6" xsi:nil="true"/>
    <lcf76f155ced4ddcb4097134ff3c332f xmlns="e1ad0fee-deb7-4d11-8342-64349c8749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167DF4E06F5744B57C6F8BE5F564CB" ma:contentTypeVersion="20" ma:contentTypeDescription="Opret et nyt dokument." ma:contentTypeScope="" ma:versionID="4c9fdd3f57380a66db669e25b35dd481">
  <xsd:schema xmlns:xsd="http://www.w3.org/2001/XMLSchema" xmlns:xs="http://www.w3.org/2001/XMLSchema" xmlns:p="http://schemas.microsoft.com/office/2006/metadata/properties" xmlns:ns2="e1ad0fee-deb7-4d11-8342-64349c8749bc" xmlns:ns3="547d2aa7-4697-4679-89a8-f7ed825373f6" targetNamespace="http://schemas.microsoft.com/office/2006/metadata/properties" ma:root="true" ma:fieldsID="0701e95dae96647187809806b243026f" ns2:_="" ns3:_="">
    <xsd:import namespace="e1ad0fee-deb7-4d11-8342-64349c8749bc"/>
    <xsd:import namespace="547d2aa7-4697-4679-89a8-f7ed82537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0fee-deb7-4d11-8342-64349c874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d399327e-dec2-4cfd-b9e4-ed826a3a2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d2aa7-4697-4679-89a8-f7ed82537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47f4b9-575f-4bb9-9f4d-53a5a71db9dd}" ma:internalName="TaxCatchAll" ma:showField="CatchAllData" ma:web="547d2aa7-4697-4679-89a8-f7ed82537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F082-B58A-4F52-A56E-EC4AEF91AEFB}">
  <ds:schemaRefs>
    <ds:schemaRef ds:uri="http://schemas.microsoft.com/office/2006/metadata/properties"/>
    <ds:schemaRef ds:uri="http://schemas.microsoft.com/office/infopath/2007/PartnerControls"/>
    <ds:schemaRef ds:uri="547d2aa7-4697-4679-89a8-f7ed825373f6"/>
    <ds:schemaRef ds:uri="e1ad0fee-deb7-4d11-8342-64349c8749bc"/>
  </ds:schemaRefs>
</ds:datastoreItem>
</file>

<file path=customXml/itemProps2.xml><?xml version="1.0" encoding="utf-8"?>
<ds:datastoreItem xmlns:ds="http://schemas.openxmlformats.org/officeDocument/2006/customXml" ds:itemID="{DF44AD3D-F638-4681-B165-D4FC1736A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FC98C-0845-4A94-8D81-1ABEEB673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0fee-deb7-4d11-8342-64349c8749bc"/>
    <ds:schemaRef ds:uri="547d2aa7-4697-4679-89a8-f7ed82537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7685A7-3D8E-4366-84A9-E083C009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605</Words>
  <Characters>4178</Characters>
  <Application>Microsoft Office Word</Application>
  <DocSecurity>0</DocSecurity>
  <Lines>149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Søborg</dc:creator>
  <cp:keywords/>
  <dc:description/>
  <cp:lastModifiedBy>Camilla Søborg</cp:lastModifiedBy>
  <cp:revision>43</cp:revision>
  <dcterms:created xsi:type="dcterms:W3CDTF">2026-06-24T11:32:00Z</dcterms:created>
  <dcterms:modified xsi:type="dcterms:W3CDTF">2026-07-01T08:32:00Z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0x0101003E167DF4E06F5744B57C6F8BE5F564CB</vt:lpwstr>
  </property>
  <property fmtid="{D5CDD505-2E9C-101B-9397-08002B2CF9AE}" pid="3" name="MediaServiceImageTags">
    <vt:lpwstr/>
  </property>
</Properties>
</file>